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footer1.xml" ContentType="application/vnd.openxmlformats-officedocument.wordprocessingml.footer+xml"/>
  <Default Extension="png" ContentType="image/png"/>
  <Override PartName="/word/header2.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pPr>
    </w:p>
    <w:p>
      <w:pPr>
        <w:pStyle w:val="BodyText"/>
        <w:spacing w:before="15"/>
      </w:pPr>
    </w:p>
    <w:p>
      <w:pPr>
        <w:pStyle w:val="BodyText"/>
        <w:ind w:left="1163"/>
      </w:pPr>
      <w:r>
        <w:rPr/>
        <w:t>Unidad</w:t>
      </w:r>
      <w:r>
        <w:rPr>
          <w:spacing w:val="7"/>
        </w:rPr>
        <w:t> </w:t>
      </w:r>
      <w:r>
        <w:rPr/>
        <w:t>de</w:t>
      </w:r>
      <w:r>
        <w:rPr>
          <w:spacing w:val="-6"/>
        </w:rPr>
        <w:t> </w:t>
      </w:r>
      <w:r>
        <w:rPr/>
        <w:t>Apoyo</w:t>
      </w:r>
      <w:r>
        <w:rPr>
          <w:spacing w:val="5"/>
        </w:rPr>
        <w:t> </w:t>
      </w:r>
      <w:r>
        <w:rPr/>
        <w:t>y</w:t>
      </w:r>
      <w:r>
        <w:rPr>
          <w:spacing w:val="7"/>
        </w:rPr>
        <w:t> </w:t>
      </w:r>
      <w:r>
        <w:rPr>
          <w:spacing w:val="-2"/>
        </w:rPr>
        <w:t>Contratación</w:t>
      </w:r>
    </w:p>
    <w:p>
      <w:pPr>
        <w:pStyle w:val="Heading1"/>
        <w:spacing w:before="5"/>
        <w:ind w:left="1163"/>
        <w:jc w:val="left"/>
      </w:pPr>
      <w:r>
        <w:rPr/>
        <w:t>Expte.:</w:t>
      </w:r>
      <w:r>
        <w:rPr>
          <w:spacing w:val="6"/>
        </w:rPr>
        <w:t> </w:t>
      </w:r>
      <w:r>
        <w:rPr/>
        <w:t>9/2025</w:t>
      </w:r>
      <w:r>
        <w:rPr>
          <w:spacing w:val="9"/>
        </w:rPr>
        <w:t> </w:t>
      </w:r>
      <w:r>
        <w:rPr/>
        <w:t>Ref.:</w:t>
      </w:r>
      <w:r>
        <w:rPr>
          <w:spacing w:val="10"/>
        </w:rPr>
        <w:t> </w:t>
      </w:r>
      <w:r>
        <w:rPr>
          <w:spacing w:val="-2"/>
        </w:rPr>
        <w:t>LSR/nma</w:t>
      </w:r>
    </w:p>
    <w:p>
      <w:pPr>
        <w:pStyle w:val="BodyText"/>
        <w:rPr>
          <w:b/>
        </w:rPr>
      </w:pPr>
    </w:p>
    <w:p>
      <w:pPr>
        <w:pStyle w:val="BodyText"/>
        <w:rPr>
          <w:b/>
        </w:rPr>
      </w:pPr>
    </w:p>
    <w:p>
      <w:pPr>
        <w:pStyle w:val="BodyText"/>
        <w:spacing w:before="22"/>
        <w:rPr>
          <w:b/>
        </w:rPr>
      </w:pPr>
    </w:p>
    <w:p>
      <w:pPr>
        <w:spacing w:line="244" w:lineRule="auto" w:before="0"/>
        <w:ind w:left="1163" w:right="897" w:firstLine="0"/>
        <w:jc w:val="both"/>
        <w:rPr>
          <w:b/>
          <w:sz w:val="20"/>
        </w:rPr>
      </w:pPr>
      <w:r>
        <w:rPr>
          <w:b/>
          <w:sz w:val="20"/>
        </w:rPr>
        <w:t>ORDEN DE LA CONSEJERA DE SANIDAD POR LA QUE SE CONCEDE UNA SUBVENCIÓN DIRECTA AL COLEGIO OFICIAL DE MÉDICOS DE SANTA CRUZ DE TENERIFE PARA FI- NANCIAR EL PROYECTO </w:t>
      </w:r>
      <w:r>
        <w:rPr>
          <w:b/>
          <w:i/>
          <w:sz w:val="20"/>
        </w:rPr>
        <w:t>“</w:t>
      </w:r>
      <w:r>
        <w:rPr>
          <w:b/>
          <w:sz w:val="20"/>
        </w:rPr>
        <w:t>SEGURO COLECTIVO DE RESPONSABILIDAD CIVIL PROFE- SIONAL</w:t>
      </w:r>
      <w:r>
        <w:rPr>
          <w:b/>
          <w:i/>
          <w:sz w:val="20"/>
        </w:rPr>
        <w:t>”, </w:t>
      </w:r>
      <w:r>
        <w:rPr>
          <w:b/>
          <w:sz w:val="20"/>
        </w:rPr>
        <w:t>EJERCICIO 2025.</w:t>
      </w:r>
    </w:p>
    <w:p>
      <w:pPr>
        <w:pStyle w:val="BodyText"/>
        <w:rPr>
          <w:b/>
        </w:rPr>
      </w:pPr>
    </w:p>
    <w:p>
      <w:pPr>
        <w:pStyle w:val="BodyText"/>
        <w:spacing w:before="14"/>
        <w:rPr>
          <w:b/>
        </w:rPr>
      </w:pPr>
    </w:p>
    <w:p>
      <w:pPr>
        <w:spacing w:line="247" w:lineRule="auto" w:before="0"/>
        <w:ind w:left="1163" w:right="895" w:firstLine="0"/>
        <w:jc w:val="both"/>
        <w:rPr>
          <w:sz w:val="20"/>
        </w:rPr>
      </w:pPr>
      <w:r>
        <w:rPr>
          <w:sz w:val="20"/>
        </w:rPr>
        <w:t>En el expediente tramitado por la Secretaría General del Servicio Canario de la Salud, relativo a la conce- sión de subvención nominada a favor de </w:t>
      </w:r>
      <w:r>
        <w:rPr>
          <w:b/>
          <w:sz w:val="20"/>
        </w:rPr>
        <w:t>EL COLEGIO OFICIAL DE MÉDICOS DE SANTA CRUZ DE TENERIFE, </w:t>
      </w:r>
      <w:r>
        <w:rPr>
          <w:sz w:val="20"/>
        </w:rPr>
        <w:t>constan los siguientes:</w:t>
      </w:r>
    </w:p>
    <w:p>
      <w:pPr>
        <w:pStyle w:val="BodyText"/>
        <w:spacing w:before="47"/>
      </w:pPr>
    </w:p>
    <w:p>
      <w:pPr>
        <w:pStyle w:val="Heading1"/>
        <w:ind w:right="1"/>
      </w:pPr>
      <w:r>
        <w:rPr/>
        <w:t>ANTECEDENTES</w:t>
      </w:r>
      <w:r>
        <w:rPr>
          <w:spacing w:val="14"/>
        </w:rPr>
        <w:t> </w:t>
      </w:r>
      <w:r>
        <w:rPr/>
        <w:t>DE</w:t>
      </w:r>
      <w:r>
        <w:rPr>
          <w:spacing w:val="14"/>
        </w:rPr>
        <w:t> </w:t>
      </w:r>
      <w:r>
        <w:rPr>
          <w:spacing w:val="-2"/>
        </w:rPr>
        <w:t>HECHO</w:t>
      </w:r>
    </w:p>
    <w:p>
      <w:pPr>
        <w:pStyle w:val="BodyText"/>
        <w:spacing w:line="244" w:lineRule="auto" w:before="228"/>
        <w:ind w:left="1163" w:right="892"/>
        <w:jc w:val="both"/>
      </w:pPr>
      <w:r>
        <w:rPr>
          <w:b/>
        </w:rPr>
        <w:t>Primero</w:t>
      </w:r>
      <w:r>
        <w:rPr/>
        <w:t>. -</w:t>
      </w:r>
      <w:r>
        <w:rPr>
          <w:spacing w:val="-1"/>
        </w:rPr>
        <w:t> </w:t>
      </w:r>
      <w:r>
        <w:rPr/>
        <w:t>El Colegio</w:t>
      </w:r>
      <w:r>
        <w:rPr>
          <w:spacing w:val="-2"/>
        </w:rPr>
        <w:t> </w:t>
      </w:r>
      <w:r>
        <w:rPr/>
        <w:t>Oficial de</w:t>
      </w:r>
      <w:r>
        <w:rPr>
          <w:spacing w:val="-2"/>
        </w:rPr>
        <w:t> </w:t>
      </w:r>
      <w:r>
        <w:rPr/>
        <w:t>Médicos de Santa</w:t>
      </w:r>
      <w:r>
        <w:rPr>
          <w:spacing w:val="-2"/>
        </w:rPr>
        <w:t> </w:t>
      </w:r>
      <w:r>
        <w:rPr/>
        <w:t>Cruz de</w:t>
      </w:r>
      <w:r>
        <w:rPr>
          <w:spacing w:val="-5"/>
        </w:rPr>
        <w:t> </w:t>
      </w:r>
      <w:r>
        <w:rPr/>
        <w:t>Tenerife</w:t>
      </w:r>
      <w:r>
        <w:rPr>
          <w:spacing w:val="-2"/>
        </w:rPr>
        <w:t> </w:t>
      </w:r>
      <w:r>
        <w:rPr/>
        <w:t>es</w:t>
      </w:r>
      <w:r>
        <w:rPr>
          <w:spacing w:val="-1"/>
        </w:rPr>
        <w:t> </w:t>
      </w:r>
      <w:r>
        <w:rPr/>
        <w:t>una</w:t>
      </w:r>
      <w:r>
        <w:rPr>
          <w:spacing w:val="-2"/>
        </w:rPr>
        <w:t> </w:t>
      </w:r>
      <w:r>
        <w:rPr/>
        <w:t>Corporación</w:t>
      </w:r>
      <w:r>
        <w:rPr>
          <w:spacing w:val="-2"/>
        </w:rPr>
        <w:t> </w:t>
      </w:r>
      <w:r>
        <w:rPr/>
        <w:t>de</w:t>
      </w:r>
      <w:r>
        <w:rPr>
          <w:spacing w:val="-2"/>
        </w:rPr>
        <w:t> </w:t>
      </w:r>
      <w:r>
        <w:rPr/>
        <w:t>derecho público de carácter profesional y de estructura y funcionamiento democrático, reconocida y amparada por la Cons- titución y el Estatuto de Autonomía de Canarias, que se rige por sus estatutos, la Ley 2/1974, de 13 de febrero, de Colegios</w:t>
      </w:r>
      <w:r>
        <w:rPr>
          <w:spacing w:val="23"/>
        </w:rPr>
        <w:t> </w:t>
      </w:r>
      <w:r>
        <w:rPr/>
        <w:t>Profesionales, Ley 10/1990, de 23</w:t>
      </w:r>
      <w:r>
        <w:rPr>
          <w:spacing w:val="23"/>
        </w:rPr>
        <w:t> </w:t>
      </w:r>
      <w:r>
        <w:rPr/>
        <w:t>de mayo,</w:t>
      </w:r>
      <w:r>
        <w:rPr>
          <w:spacing w:val="23"/>
        </w:rPr>
        <w:t> </w:t>
      </w:r>
      <w:r>
        <w:rPr/>
        <w:t>de</w:t>
      </w:r>
      <w:r>
        <w:rPr>
          <w:spacing w:val="23"/>
        </w:rPr>
        <w:t> </w:t>
      </w:r>
      <w:r>
        <w:rPr/>
        <w:t>Colegios</w:t>
      </w:r>
      <w:r>
        <w:rPr>
          <w:spacing w:val="23"/>
        </w:rPr>
        <w:t> </w:t>
      </w:r>
      <w:r>
        <w:rPr/>
        <w:t>Profesionales</w:t>
      </w:r>
      <w:r>
        <w:rPr>
          <w:spacing w:val="23"/>
        </w:rPr>
        <w:t> </w:t>
      </w:r>
      <w:r>
        <w:rPr/>
        <w:t>de Canarias, por su Reglamento de desarrollo aprobado por el Decreto 277/1990, de 27 de diciembre, y por el resto de disposiciones legales que le sean de aplicación, que asocia y representa a los Médicos de la provincia de Santa</w:t>
      </w:r>
      <w:r>
        <w:rPr>
          <w:spacing w:val="-2"/>
        </w:rPr>
        <w:t> </w:t>
      </w:r>
      <w:r>
        <w:rPr/>
        <w:t>Cruz de</w:t>
      </w:r>
      <w:r>
        <w:rPr>
          <w:spacing w:val="-5"/>
        </w:rPr>
        <w:t> </w:t>
      </w:r>
      <w:r>
        <w:rPr/>
        <w:t>Tenerife</w:t>
      </w:r>
      <w:r>
        <w:rPr>
          <w:spacing w:val="-2"/>
        </w:rPr>
        <w:t> </w:t>
      </w:r>
      <w:r>
        <w:rPr/>
        <w:t>para</w:t>
      </w:r>
      <w:r>
        <w:rPr>
          <w:spacing w:val="-2"/>
        </w:rPr>
        <w:t> </w:t>
      </w:r>
      <w:r>
        <w:rPr/>
        <w:t>velar por</w:t>
      </w:r>
      <w:r>
        <w:rPr>
          <w:spacing w:val="-2"/>
        </w:rPr>
        <w:t> </w:t>
      </w:r>
      <w:r>
        <w:rPr/>
        <w:t>el</w:t>
      </w:r>
      <w:r>
        <w:rPr>
          <w:spacing w:val="-1"/>
        </w:rPr>
        <w:t> </w:t>
      </w:r>
      <w:r>
        <w:rPr/>
        <w:t>buen</w:t>
      </w:r>
      <w:r>
        <w:rPr>
          <w:spacing w:val="-2"/>
        </w:rPr>
        <w:t> </w:t>
      </w:r>
      <w:r>
        <w:rPr/>
        <w:t>ejercicio</w:t>
      </w:r>
      <w:r>
        <w:rPr>
          <w:spacing w:val="-2"/>
        </w:rPr>
        <w:t> </w:t>
      </w:r>
      <w:r>
        <w:rPr/>
        <w:t>de la profesión y</w:t>
      </w:r>
      <w:r>
        <w:rPr>
          <w:spacing w:val="-2"/>
        </w:rPr>
        <w:t> </w:t>
      </w:r>
      <w:r>
        <w:rPr/>
        <w:t>defender</w:t>
      </w:r>
      <w:r>
        <w:rPr>
          <w:spacing w:val="-1"/>
        </w:rPr>
        <w:t> </w:t>
      </w:r>
      <w:r>
        <w:rPr/>
        <w:t>los</w:t>
      </w:r>
      <w:r>
        <w:rPr>
          <w:spacing w:val="-2"/>
        </w:rPr>
        <w:t> </w:t>
      </w:r>
      <w:r>
        <w:rPr/>
        <w:t>derechos profesionales de los médicos.</w:t>
      </w:r>
    </w:p>
    <w:p>
      <w:pPr>
        <w:pStyle w:val="BodyText"/>
        <w:spacing w:before="2"/>
      </w:pPr>
    </w:p>
    <w:p>
      <w:pPr>
        <w:pStyle w:val="BodyText"/>
        <w:spacing w:line="244" w:lineRule="auto" w:before="1"/>
        <w:ind w:left="1163" w:right="896"/>
        <w:jc w:val="both"/>
      </w:pPr>
      <w:r>
        <w:rPr/>
        <w:t>En la actualidad el Ilustre Colegio Oficial de Médicos de Santa Cruz de Tenerife cuenta con dos pólizas colectivas de Seguro de Responsabilidad Civil Profesional, suscritas con Agrupación Mutual Aseguradora (AMA)</w:t>
      </w:r>
      <w:r>
        <w:rPr>
          <w:spacing w:val="17"/>
        </w:rPr>
        <w:t> </w:t>
      </w:r>
      <w:r>
        <w:rPr/>
        <w:t>y W.R.</w:t>
      </w:r>
      <w:r>
        <w:rPr>
          <w:spacing w:val="16"/>
        </w:rPr>
        <w:t> </w:t>
      </w:r>
      <w:r>
        <w:rPr/>
        <w:t>Berkley</w:t>
      </w:r>
      <w:r>
        <w:rPr>
          <w:spacing w:val="17"/>
        </w:rPr>
        <w:t> </w:t>
      </w:r>
      <w:r>
        <w:rPr/>
        <w:t>España,</w:t>
      </w:r>
      <w:r>
        <w:rPr>
          <w:spacing w:val="16"/>
        </w:rPr>
        <w:t> </w:t>
      </w:r>
      <w:r>
        <w:rPr/>
        <w:t>siendo la</w:t>
      </w:r>
      <w:r>
        <w:rPr>
          <w:spacing w:val="17"/>
        </w:rPr>
        <w:t> </w:t>
      </w:r>
      <w:r>
        <w:rPr/>
        <w:t>cobertura</w:t>
      </w:r>
      <w:r>
        <w:rPr>
          <w:spacing w:val="17"/>
        </w:rPr>
        <w:t> </w:t>
      </w:r>
      <w:r>
        <w:rPr/>
        <w:t>principal</w:t>
      </w:r>
      <w:r>
        <w:rPr>
          <w:spacing w:val="17"/>
        </w:rPr>
        <w:t> </w:t>
      </w:r>
      <w:r>
        <w:rPr/>
        <w:t>de</w:t>
      </w:r>
      <w:r>
        <w:rPr>
          <w:spacing w:val="17"/>
        </w:rPr>
        <w:t> </w:t>
      </w:r>
      <w:r>
        <w:rPr/>
        <w:t>dichos</w:t>
      </w:r>
      <w:r>
        <w:rPr>
          <w:spacing w:val="17"/>
        </w:rPr>
        <w:t> </w:t>
      </w:r>
      <w:r>
        <w:rPr/>
        <w:t>seguros, tal</w:t>
      </w:r>
      <w:r>
        <w:rPr>
          <w:spacing w:val="17"/>
        </w:rPr>
        <w:t> </w:t>
      </w:r>
      <w:r>
        <w:rPr/>
        <w:t>y</w:t>
      </w:r>
      <w:r>
        <w:rPr>
          <w:spacing w:val="16"/>
        </w:rPr>
        <w:t> </w:t>
      </w:r>
      <w:r>
        <w:rPr/>
        <w:t>como</w:t>
      </w:r>
      <w:r>
        <w:rPr>
          <w:spacing w:val="16"/>
        </w:rPr>
        <w:t> </w:t>
      </w:r>
      <w:r>
        <w:rPr/>
        <w:t>se</w:t>
      </w:r>
      <w:r>
        <w:rPr>
          <w:spacing w:val="17"/>
        </w:rPr>
        <w:t> </w:t>
      </w:r>
      <w:r>
        <w:rPr/>
        <w:t>desprende de la memoria de actuaciones, hacer frente a las demandas que pudieran ocurrir derivadas del funcionamiento o de las actuaciones de su propio personal sanitario.</w:t>
      </w:r>
    </w:p>
    <w:p>
      <w:pPr>
        <w:pStyle w:val="BodyText"/>
        <w:spacing w:before="169"/>
      </w:pPr>
    </w:p>
    <w:p>
      <w:pPr>
        <w:pStyle w:val="BodyText"/>
        <w:spacing w:line="244" w:lineRule="auto"/>
        <w:ind w:left="1163" w:right="888"/>
        <w:jc w:val="both"/>
      </w:pPr>
      <w:r>
        <w:rPr>
          <w:b/>
        </w:rPr>
        <w:t>Segundo. -- </w:t>
      </w:r>
      <w:r>
        <w:rPr/>
        <w:t>En la Ley 5/2024, de 26 de diciembre, de Presupuestos Generales de la Comunidad</w:t>
      </w:r>
      <w:r>
        <w:rPr>
          <w:spacing w:val="-4"/>
        </w:rPr>
        <w:t> </w:t>
      </w:r>
      <w:r>
        <w:rPr/>
        <w:t>Autónoma de Canarias para el año 2025 (B.O.C. nº 260 de 30.12.2024), consta en el presupuesto de gastos de la Dirección del Servicio Canario de la Salud, como transferencia corriente a favor del “COLEGIO OFICIAL DE MÉDICOS DE SANTA CRUZ DE TENERIFE”, por importe de 148.449 euros la siguiente consignación presupuestaria:</w:t>
      </w:r>
    </w:p>
    <w:p>
      <w:pPr>
        <w:pStyle w:val="BodyText"/>
      </w:pPr>
    </w:p>
    <w:p>
      <w:pPr>
        <w:pStyle w:val="BodyText"/>
        <w:spacing w:before="54"/>
      </w:pPr>
    </w:p>
    <w:p>
      <w:pPr>
        <w:pStyle w:val="BodyText"/>
        <w:spacing w:line="357" w:lineRule="auto"/>
        <w:ind w:left="1163" w:right="4798"/>
      </w:pPr>
      <w:r>
        <w:rPr/>
        <w:t>Sección 39 SERVICIO CANARIO DE LA</w:t>
      </w:r>
      <w:r>
        <w:rPr>
          <w:spacing w:val="-6"/>
        </w:rPr>
        <w:t> </w:t>
      </w:r>
      <w:r>
        <w:rPr/>
        <w:t>SALUD Servicio 3918 DIRECCIÓN DEL SERVICIO</w:t>
      </w:r>
    </w:p>
    <w:p>
      <w:pPr>
        <w:pStyle w:val="BodyText"/>
        <w:spacing w:line="226" w:lineRule="exact"/>
        <w:ind w:left="1163"/>
        <w:jc w:val="both"/>
      </w:pPr>
      <w:r>
        <w:rPr/>
        <w:t>Programa</w:t>
      </w:r>
      <w:r>
        <w:rPr>
          <w:spacing w:val="9"/>
        </w:rPr>
        <w:t> </w:t>
      </w:r>
      <w:r>
        <w:rPr/>
        <w:t>311A</w:t>
      </w:r>
      <w:r>
        <w:rPr>
          <w:spacing w:val="-5"/>
        </w:rPr>
        <w:t> </w:t>
      </w:r>
      <w:r>
        <w:rPr/>
        <w:t>Dirección</w:t>
      </w:r>
      <w:r>
        <w:rPr>
          <w:spacing w:val="-6"/>
        </w:rPr>
        <w:t> </w:t>
      </w:r>
      <w:r>
        <w:rPr/>
        <w:t>Administrativa</w:t>
      </w:r>
      <w:r>
        <w:rPr>
          <w:spacing w:val="9"/>
        </w:rPr>
        <w:t> </w:t>
      </w:r>
      <w:r>
        <w:rPr/>
        <w:t>y</w:t>
      </w:r>
      <w:r>
        <w:rPr>
          <w:spacing w:val="9"/>
        </w:rPr>
        <w:t> </w:t>
      </w:r>
      <w:r>
        <w:rPr/>
        <w:t>Servicios</w:t>
      </w:r>
      <w:r>
        <w:rPr>
          <w:spacing w:val="7"/>
        </w:rPr>
        <w:t> </w:t>
      </w:r>
      <w:r>
        <w:rPr>
          <w:spacing w:val="-2"/>
        </w:rPr>
        <w:t>Generales</w:t>
      </w:r>
    </w:p>
    <w:p>
      <w:pPr>
        <w:pStyle w:val="BodyText"/>
        <w:rPr>
          <w:sz w:val="15"/>
        </w:rPr>
      </w:pPr>
    </w:p>
    <w:p>
      <w:pPr>
        <w:pStyle w:val="BodyText"/>
        <w:rPr>
          <w:sz w:val="15"/>
        </w:rPr>
      </w:pPr>
    </w:p>
    <w:p>
      <w:pPr>
        <w:pStyle w:val="BodyText"/>
        <w:rPr>
          <w:sz w:val="15"/>
        </w:rPr>
      </w:pPr>
    </w:p>
    <w:p>
      <w:pPr>
        <w:pStyle w:val="BodyText"/>
        <w:rPr>
          <w:sz w:val="15"/>
        </w:rPr>
      </w:pPr>
    </w:p>
    <w:p>
      <w:pPr>
        <w:pStyle w:val="BodyText"/>
        <w:rPr>
          <w:sz w:val="15"/>
        </w:rPr>
      </w:pPr>
    </w:p>
    <w:p>
      <w:pPr>
        <w:pStyle w:val="BodyText"/>
        <w:spacing w:before="157"/>
        <w:rPr>
          <w:sz w:val="15"/>
        </w:rPr>
      </w:pPr>
    </w:p>
    <w:p>
      <w:pPr>
        <w:tabs>
          <w:tab w:pos="4916" w:val="left" w:leader="none"/>
          <w:tab w:pos="5834" w:val="left" w:leader="none"/>
        </w:tabs>
        <w:spacing w:before="1"/>
        <w:ind w:left="2218" w:right="3373" w:firstLine="924"/>
        <w:jc w:val="left"/>
        <w:rPr>
          <w:sz w:val="15"/>
        </w:rPr>
      </w:pPr>
      <w:r>
        <w:rPr>
          <w:sz w:val="15"/>
        </w:rPr>
        <w:t>Avenida Juan XXIII, 17</w:t>
        <w:tab/>
        <w:tab/>
        <w:t>Rambla</w:t>
      </w:r>
      <w:r>
        <w:rPr>
          <w:spacing w:val="-10"/>
          <w:sz w:val="15"/>
        </w:rPr>
        <w:t> </w:t>
      </w:r>
      <w:r>
        <w:rPr>
          <w:sz w:val="15"/>
        </w:rPr>
        <w:t>de</w:t>
      </w:r>
      <w:r>
        <w:rPr>
          <w:spacing w:val="-9"/>
          <w:sz w:val="15"/>
        </w:rPr>
        <w:t> </w:t>
      </w:r>
      <w:r>
        <w:rPr>
          <w:sz w:val="15"/>
        </w:rPr>
        <w:t>Santa</w:t>
      </w:r>
      <w:r>
        <w:rPr>
          <w:spacing w:val="-10"/>
          <w:sz w:val="15"/>
        </w:rPr>
        <w:t> </w:t>
      </w:r>
      <w:r>
        <w:rPr>
          <w:sz w:val="15"/>
        </w:rPr>
        <w:t>Cruz,</w:t>
      </w:r>
      <w:r>
        <w:rPr>
          <w:spacing w:val="-9"/>
          <w:sz w:val="15"/>
        </w:rPr>
        <w:t> </w:t>
      </w:r>
      <w:r>
        <w:rPr>
          <w:sz w:val="15"/>
        </w:rPr>
        <w:t>53</w:t>
      </w:r>
      <w:r>
        <w:rPr>
          <w:spacing w:val="40"/>
          <w:sz w:val="15"/>
        </w:rPr>
        <w:t> </w:t>
      </w:r>
      <w:r>
        <w:rPr>
          <w:sz w:val="15"/>
        </w:rPr>
        <w:t>35004 – Las Palmas de Gran Canaria</w:t>
        <w:tab/>
        <w:t>38006 – Santa Cruz de Tenerife</w:t>
      </w:r>
    </w:p>
    <w:p>
      <w:pPr>
        <w:spacing w:after="0"/>
        <w:jc w:val="left"/>
        <w:rPr>
          <w:sz w:val="15"/>
        </w:rPr>
        <w:sectPr>
          <w:headerReference w:type="default" r:id="rId5"/>
          <w:footerReference w:type="default" r:id="rId6"/>
          <w:type w:val="continuous"/>
          <w:pgSz w:w="11900" w:h="16840"/>
          <w:pgMar w:header="923" w:footer="926" w:top="1900" w:bottom="1120" w:left="566" w:right="566"/>
          <w:pgNumType w:start="1"/>
        </w:sectPr>
      </w:pPr>
    </w:p>
    <w:p>
      <w:pPr>
        <w:pStyle w:val="BodyText"/>
        <w:spacing w:before="27" w:after="1"/>
      </w:pPr>
    </w:p>
    <w:tbl>
      <w:tblPr>
        <w:tblW w:w="0" w:type="auto"/>
        <w:jc w:val="left"/>
        <w:tblInd w:w="1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11"/>
        <w:gridCol w:w="3592"/>
        <w:gridCol w:w="2908"/>
      </w:tblGrid>
      <w:tr>
        <w:trPr>
          <w:trHeight w:val="336" w:hRule="atLeast"/>
        </w:trPr>
        <w:tc>
          <w:tcPr>
            <w:tcW w:w="2211" w:type="dxa"/>
          </w:tcPr>
          <w:p>
            <w:pPr>
              <w:pStyle w:val="TableParagraph"/>
              <w:spacing w:before="54"/>
              <w:ind w:left="50"/>
              <w:rPr>
                <w:rFonts w:ascii="Times New Roman"/>
                <w:b/>
                <w:sz w:val="20"/>
              </w:rPr>
            </w:pPr>
            <w:r>
              <w:rPr>
                <w:rFonts w:ascii="Times New Roman"/>
                <w:b/>
                <w:spacing w:val="-2"/>
                <w:sz w:val="20"/>
              </w:rPr>
              <w:t>Proyecto/subconcepto</w:t>
            </w:r>
          </w:p>
        </w:tc>
        <w:tc>
          <w:tcPr>
            <w:tcW w:w="3592" w:type="dxa"/>
          </w:tcPr>
          <w:p>
            <w:pPr>
              <w:pStyle w:val="TableParagraph"/>
              <w:spacing w:before="54"/>
              <w:ind w:left="51"/>
              <w:rPr>
                <w:rFonts w:ascii="Times New Roman" w:hAnsi="Times New Roman"/>
                <w:b/>
                <w:sz w:val="20"/>
              </w:rPr>
            </w:pPr>
            <w:r>
              <w:rPr>
                <w:rFonts w:ascii="Times New Roman" w:hAnsi="Times New Roman"/>
                <w:b/>
                <w:spacing w:val="-2"/>
                <w:sz w:val="20"/>
              </w:rPr>
              <w:t>Denominación</w:t>
            </w:r>
          </w:p>
        </w:tc>
        <w:tc>
          <w:tcPr>
            <w:tcW w:w="2908" w:type="dxa"/>
          </w:tcPr>
          <w:p>
            <w:pPr>
              <w:pStyle w:val="TableParagraph"/>
              <w:spacing w:before="54"/>
              <w:ind w:left="52"/>
              <w:rPr>
                <w:rFonts w:ascii="Times New Roman" w:hAnsi="Times New Roman"/>
                <w:b/>
                <w:sz w:val="20"/>
              </w:rPr>
            </w:pPr>
            <w:r>
              <w:rPr>
                <w:rFonts w:ascii="Times New Roman" w:hAnsi="Times New Roman"/>
                <w:b/>
                <w:sz w:val="20"/>
              </w:rPr>
              <w:t>Importe</w:t>
            </w:r>
            <w:r>
              <w:rPr>
                <w:rFonts w:ascii="Times New Roman" w:hAnsi="Times New Roman"/>
                <w:b/>
                <w:spacing w:val="9"/>
                <w:sz w:val="20"/>
              </w:rPr>
              <w:t> </w:t>
            </w:r>
            <w:r>
              <w:rPr>
                <w:rFonts w:ascii="Times New Roman" w:hAnsi="Times New Roman"/>
                <w:b/>
                <w:spacing w:val="-5"/>
                <w:sz w:val="20"/>
              </w:rPr>
              <w:t>(€)</w:t>
            </w:r>
          </w:p>
        </w:tc>
      </w:tr>
      <w:tr>
        <w:trPr>
          <w:trHeight w:val="275" w:hRule="atLeast"/>
        </w:trPr>
        <w:tc>
          <w:tcPr>
            <w:tcW w:w="2211" w:type="dxa"/>
            <w:tcBorders>
              <w:bottom w:val="nil"/>
            </w:tcBorders>
          </w:tcPr>
          <w:p>
            <w:pPr>
              <w:pStyle w:val="TableParagraph"/>
              <w:spacing w:line="211" w:lineRule="exact" w:before="45"/>
              <w:ind w:left="694"/>
              <w:rPr>
                <w:rFonts w:ascii="Times New Roman"/>
                <w:b/>
                <w:sz w:val="20"/>
              </w:rPr>
            </w:pPr>
            <w:r>
              <w:rPr>
                <w:rFonts w:ascii="Times New Roman"/>
                <w:b/>
                <w:spacing w:val="-2"/>
                <w:sz w:val="20"/>
              </w:rPr>
              <w:t>14458002</w:t>
            </w:r>
          </w:p>
        </w:tc>
        <w:tc>
          <w:tcPr>
            <w:tcW w:w="3592" w:type="dxa"/>
            <w:tcBorders>
              <w:bottom w:val="nil"/>
            </w:tcBorders>
          </w:tcPr>
          <w:p>
            <w:pPr>
              <w:pStyle w:val="TableParagraph"/>
              <w:spacing w:line="211" w:lineRule="exact" w:before="45"/>
              <w:ind w:left="51"/>
              <w:rPr>
                <w:rFonts w:ascii="Times New Roman" w:hAnsi="Times New Roman"/>
                <w:b/>
                <w:sz w:val="20"/>
              </w:rPr>
            </w:pPr>
            <w:r>
              <w:rPr>
                <w:rFonts w:ascii="Times New Roman" w:hAnsi="Times New Roman"/>
                <w:b/>
                <w:sz w:val="20"/>
              </w:rPr>
              <w:t>COLEGIO</w:t>
            </w:r>
            <w:r>
              <w:rPr>
                <w:rFonts w:ascii="Times New Roman" w:hAnsi="Times New Roman"/>
                <w:b/>
                <w:spacing w:val="62"/>
                <w:w w:val="150"/>
                <w:sz w:val="20"/>
              </w:rPr>
              <w:t> </w:t>
            </w:r>
            <w:r>
              <w:rPr>
                <w:rFonts w:ascii="Times New Roman" w:hAnsi="Times New Roman"/>
                <w:b/>
                <w:sz w:val="20"/>
              </w:rPr>
              <w:t>OFICIAL</w:t>
            </w:r>
            <w:r>
              <w:rPr>
                <w:rFonts w:ascii="Times New Roman" w:hAnsi="Times New Roman"/>
                <w:b/>
                <w:spacing w:val="74"/>
                <w:sz w:val="20"/>
              </w:rPr>
              <w:t> </w:t>
            </w:r>
            <w:r>
              <w:rPr>
                <w:rFonts w:ascii="Times New Roman" w:hAnsi="Times New Roman"/>
                <w:b/>
                <w:sz w:val="20"/>
              </w:rPr>
              <w:t>DE</w:t>
            </w:r>
            <w:r>
              <w:rPr>
                <w:rFonts w:ascii="Times New Roman" w:hAnsi="Times New Roman"/>
                <w:b/>
                <w:spacing w:val="61"/>
                <w:w w:val="150"/>
                <w:sz w:val="20"/>
              </w:rPr>
              <w:t> </w:t>
            </w:r>
            <w:r>
              <w:rPr>
                <w:rFonts w:ascii="Times New Roman" w:hAnsi="Times New Roman"/>
                <w:b/>
                <w:spacing w:val="-2"/>
                <w:sz w:val="20"/>
              </w:rPr>
              <w:t>MÉDICOS</w:t>
            </w:r>
          </w:p>
        </w:tc>
        <w:tc>
          <w:tcPr>
            <w:tcW w:w="2908" w:type="dxa"/>
            <w:vMerge w:val="restart"/>
          </w:tcPr>
          <w:p>
            <w:pPr>
              <w:pStyle w:val="TableParagraph"/>
              <w:spacing w:before="215"/>
              <w:ind w:left="874"/>
              <w:rPr>
                <w:rFonts w:ascii="Times New Roman"/>
                <w:b/>
                <w:sz w:val="20"/>
              </w:rPr>
            </w:pPr>
            <w:r>
              <w:rPr>
                <w:rFonts w:ascii="Times New Roman"/>
                <w:b/>
                <w:spacing w:val="-2"/>
                <w:sz w:val="20"/>
              </w:rPr>
              <w:t>148.449</w:t>
            </w:r>
          </w:p>
        </w:tc>
      </w:tr>
      <w:tr>
        <w:trPr>
          <w:trHeight w:val="378" w:hRule="atLeast"/>
        </w:trPr>
        <w:tc>
          <w:tcPr>
            <w:tcW w:w="2211" w:type="dxa"/>
            <w:tcBorders>
              <w:top w:val="nil"/>
            </w:tcBorders>
          </w:tcPr>
          <w:p>
            <w:pPr>
              <w:pStyle w:val="TableParagraph"/>
              <w:spacing w:line="226" w:lineRule="exact"/>
              <w:ind w:left="9"/>
              <w:jc w:val="center"/>
              <w:rPr>
                <w:rFonts w:ascii="Times New Roman"/>
                <w:b/>
                <w:sz w:val="20"/>
              </w:rPr>
            </w:pPr>
            <w:r>
              <w:rPr>
                <w:rFonts w:ascii="Times New Roman"/>
                <w:b/>
                <w:spacing w:val="-2"/>
                <w:sz w:val="20"/>
              </w:rPr>
              <w:t>48001</w:t>
            </w:r>
          </w:p>
        </w:tc>
        <w:tc>
          <w:tcPr>
            <w:tcW w:w="3592" w:type="dxa"/>
            <w:tcBorders>
              <w:top w:val="nil"/>
            </w:tcBorders>
          </w:tcPr>
          <w:p>
            <w:pPr>
              <w:pStyle w:val="TableParagraph"/>
              <w:spacing w:line="226" w:lineRule="exact"/>
              <w:ind w:left="51"/>
              <w:rPr>
                <w:rFonts w:ascii="Times New Roman"/>
                <w:b/>
                <w:sz w:val="20"/>
              </w:rPr>
            </w:pPr>
            <w:r>
              <w:rPr>
                <w:rFonts w:ascii="Times New Roman"/>
                <w:b/>
                <w:sz w:val="20"/>
              </w:rPr>
              <w:t>DE</w:t>
            </w:r>
            <w:r>
              <w:rPr>
                <w:rFonts w:ascii="Times New Roman"/>
                <w:b/>
                <w:spacing w:val="3"/>
                <w:sz w:val="20"/>
              </w:rPr>
              <w:t> </w:t>
            </w:r>
            <w:r>
              <w:rPr>
                <w:rFonts w:ascii="Times New Roman"/>
                <w:b/>
                <w:sz w:val="20"/>
              </w:rPr>
              <w:t>SANTA</w:t>
            </w:r>
            <w:r>
              <w:rPr>
                <w:rFonts w:ascii="Times New Roman"/>
                <w:b/>
                <w:spacing w:val="-9"/>
                <w:sz w:val="20"/>
              </w:rPr>
              <w:t> </w:t>
            </w:r>
            <w:r>
              <w:rPr>
                <w:rFonts w:ascii="Times New Roman"/>
                <w:b/>
                <w:sz w:val="20"/>
              </w:rPr>
              <w:t>CRUZ</w:t>
            </w:r>
            <w:r>
              <w:rPr>
                <w:rFonts w:ascii="Times New Roman"/>
                <w:b/>
                <w:spacing w:val="2"/>
                <w:sz w:val="20"/>
              </w:rPr>
              <w:t> </w:t>
            </w:r>
            <w:r>
              <w:rPr>
                <w:rFonts w:ascii="Times New Roman"/>
                <w:b/>
                <w:sz w:val="20"/>
              </w:rPr>
              <w:t>DE</w:t>
            </w:r>
            <w:r>
              <w:rPr>
                <w:rFonts w:ascii="Times New Roman"/>
                <w:b/>
                <w:spacing w:val="-1"/>
                <w:sz w:val="20"/>
              </w:rPr>
              <w:t> </w:t>
            </w:r>
            <w:r>
              <w:rPr>
                <w:rFonts w:ascii="Times New Roman"/>
                <w:b/>
                <w:spacing w:val="-2"/>
                <w:sz w:val="20"/>
              </w:rPr>
              <w:t>TENERIFE</w:t>
            </w:r>
          </w:p>
        </w:tc>
        <w:tc>
          <w:tcPr>
            <w:tcW w:w="2908" w:type="dxa"/>
            <w:vMerge/>
            <w:tcBorders>
              <w:top w:val="nil"/>
            </w:tcBorders>
          </w:tcPr>
          <w:p>
            <w:pPr>
              <w:rPr>
                <w:sz w:val="2"/>
                <w:szCs w:val="2"/>
              </w:rPr>
            </w:pPr>
          </w:p>
        </w:tc>
      </w:tr>
    </w:tbl>
    <w:p>
      <w:pPr>
        <w:pStyle w:val="BodyText"/>
        <w:spacing w:before="8"/>
      </w:pPr>
    </w:p>
    <w:p>
      <w:pPr>
        <w:pStyle w:val="BodyText"/>
        <w:spacing w:line="244" w:lineRule="auto"/>
        <w:ind w:left="1163" w:right="897"/>
        <w:jc w:val="both"/>
      </w:pPr>
      <w:r>
        <w:rPr/>
        <w:t>Esta subvención está prevista en el Plan Estratégico de Subvenciones de la Consejería de Sanidad para los años 2023-2025, aprobado por Orden nº 247 de 25 de abril de 2023, modificada por Orden de la Consejera de Sanidad 155/2025 de 18 marzo.</w:t>
      </w:r>
    </w:p>
    <w:p>
      <w:pPr>
        <w:pStyle w:val="BodyText"/>
        <w:spacing w:before="29"/>
      </w:pPr>
    </w:p>
    <w:p>
      <w:pPr>
        <w:pStyle w:val="BodyText"/>
        <w:spacing w:line="247" w:lineRule="auto"/>
        <w:ind w:left="1163" w:right="894"/>
        <w:jc w:val="both"/>
      </w:pPr>
      <w:r>
        <w:rPr>
          <w:b/>
        </w:rPr>
        <w:t>Tercero. - </w:t>
      </w:r>
      <w:r>
        <w:rPr/>
        <w:t>El Colegio Oficial de Médicos de Santa Cruz de Tenerife, con CIF nº Q3866001E, mediante escrito de fecha 4 de abril de 2025 de D. R. J. Martín Hernández, en calidad de Presidente ha presentado solicitud</w:t>
      </w:r>
      <w:r>
        <w:rPr>
          <w:spacing w:val="80"/>
        </w:rPr>
        <w:t> </w:t>
      </w:r>
      <w:r>
        <w:rPr/>
        <w:t>de</w:t>
      </w:r>
      <w:r>
        <w:rPr>
          <w:spacing w:val="18"/>
        </w:rPr>
        <w:t> </w:t>
      </w:r>
      <w:r>
        <w:rPr/>
        <w:t>subvención</w:t>
      </w:r>
      <w:r>
        <w:rPr>
          <w:spacing w:val="20"/>
        </w:rPr>
        <w:t> </w:t>
      </w:r>
      <w:r>
        <w:rPr/>
        <w:t>por</w:t>
      </w:r>
      <w:r>
        <w:rPr>
          <w:spacing w:val="20"/>
        </w:rPr>
        <w:t> </w:t>
      </w:r>
      <w:r>
        <w:rPr/>
        <w:t>importe</w:t>
      </w:r>
      <w:r>
        <w:rPr>
          <w:spacing w:val="20"/>
        </w:rPr>
        <w:t> </w:t>
      </w:r>
      <w:r>
        <w:rPr/>
        <w:t>de</w:t>
      </w:r>
      <w:r>
        <w:rPr>
          <w:spacing w:val="20"/>
        </w:rPr>
        <w:t> </w:t>
      </w:r>
      <w:r>
        <w:rPr/>
        <w:t>148.449</w:t>
      </w:r>
      <w:r>
        <w:rPr>
          <w:spacing w:val="20"/>
        </w:rPr>
        <w:t> </w:t>
      </w:r>
      <w:r>
        <w:rPr/>
        <w:t>euros</w:t>
      </w:r>
      <w:r>
        <w:rPr>
          <w:spacing w:val="18"/>
        </w:rPr>
        <w:t> </w:t>
      </w:r>
      <w:r>
        <w:rPr/>
        <w:t>para</w:t>
      </w:r>
      <w:r>
        <w:rPr>
          <w:spacing w:val="20"/>
        </w:rPr>
        <w:t> </w:t>
      </w:r>
      <w:r>
        <w:rPr/>
        <w:t>el</w:t>
      </w:r>
      <w:r>
        <w:rPr>
          <w:spacing w:val="20"/>
        </w:rPr>
        <w:t> </w:t>
      </w:r>
      <w:r>
        <w:rPr/>
        <w:t>desarrollo</w:t>
      </w:r>
      <w:r>
        <w:rPr>
          <w:spacing w:val="20"/>
        </w:rPr>
        <w:t> </w:t>
      </w:r>
      <w:r>
        <w:rPr/>
        <w:t>del</w:t>
      </w:r>
      <w:r>
        <w:rPr>
          <w:spacing w:val="20"/>
        </w:rPr>
        <w:t> </w:t>
      </w:r>
      <w:r>
        <w:rPr/>
        <w:t>proyecto</w:t>
      </w:r>
      <w:r>
        <w:rPr>
          <w:spacing w:val="20"/>
        </w:rPr>
        <w:t> </w:t>
      </w:r>
      <w:r>
        <w:rPr/>
        <w:t>“Seguro</w:t>
      </w:r>
      <w:r>
        <w:rPr>
          <w:spacing w:val="20"/>
        </w:rPr>
        <w:t> </w:t>
      </w:r>
      <w:r>
        <w:rPr/>
        <w:t>Colectivo de responsabilidad civil profesional 2025”, con un presupuesto total de 811.563,12 euros y con el siguiente desglose de plan de financiación y previsión de ingresos y gastos, con el siguiente desglose:</w:t>
      </w:r>
    </w:p>
    <w:p>
      <w:pPr>
        <w:pStyle w:val="BodyText"/>
      </w:pPr>
    </w:p>
    <w:p>
      <w:pPr>
        <w:pStyle w:val="BodyText"/>
        <w:spacing w:before="24"/>
      </w:pPr>
    </w:p>
    <w:tbl>
      <w:tblPr>
        <w:tblW w:w="0" w:type="auto"/>
        <w:jc w:val="left"/>
        <w:tblInd w:w="10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99"/>
        <w:gridCol w:w="5319"/>
        <w:gridCol w:w="1541"/>
        <w:gridCol w:w="864"/>
      </w:tblGrid>
      <w:tr>
        <w:trPr>
          <w:trHeight w:val="1113" w:hRule="atLeast"/>
        </w:trPr>
        <w:tc>
          <w:tcPr>
            <w:tcW w:w="1199" w:type="dxa"/>
            <w:tcBorders>
              <w:bottom w:val="single" w:sz="2" w:space="0" w:color="000000"/>
              <w:right w:val="single" w:sz="2" w:space="0" w:color="000000"/>
            </w:tcBorders>
          </w:tcPr>
          <w:p>
            <w:pPr>
              <w:pStyle w:val="TableParagraph"/>
              <w:spacing w:before="54"/>
              <w:ind w:left="184"/>
              <w:rPr>
                <w:rFonts w:ascii="Times New Roman"/>
                <w:b/>
                <w:sz w:val="20"/>
              </w:rPr>
            </w:pPr>
            <w:r>
              <w:rPr>
                <w:rFonts w:ascii="Times New Roman"/>
                <w:b/>
                <w:spacing w:val="-2"/>
                <w:sz w:val="20"/>
              </w:rPr>
              <w:t>GASTOS</w:t>
            </w:r>
          </w:p>
        </w:tc>
        <w:tc>
          <w:tcPr>
            <w:tcW w:w="5319" w:type="dxa"/>
            <w:tcBorders>
              <w:left w:val="single" w:sz="2" w:space="0" w:color="000000"/>
              <w:right w:val="single" w:sz="2" w:space="0" w:color="000000"/>
            </w:tcBorders>
          </w:tcPr>
          <w:p>
            <w:pPr>
              <w:pStyle w:val="TableParagraph"/>
              <w:tabs>
                <w:tab w:pos="2267" w:val="left" w:leader="none"/>
              </w:tabs>
              <w:spacing w:line="244" w:lineRule="auto" w:before="54"/>
              <w:ind w:left="53" w:right="77"/>
              <w:rPr>
                <w:rFonts w:ascii="Times New Roman" w:hAnsi="Times New Roman"/>
                <w:sz w:val="20"/>
              </w:rPr>
            </w:pPr>
            <w:r>
              <w:rPr>
                <w:rFonts w:ascii="Times New Roman" w:hAnsi="Times New Roman"/>
                <w:sz w:val="20"/>
              </w:rPr>
              <w:t>Pólizas colectivas de Seguro de Responsabilidad Civil de los</w:t>
            </w:r>
            <w:r>
              <w:rPr>
                <w:rFonts w:ascii="Times New Roman" w:hAnsi="Times New Roman"/>
                <w:spacing w:val="80"/>
                <w:w w:val="150"/>
                <w:sz w:val="20"/>
              </w:rPr>
              <w:t> </w:t>
            </w:r>
            <w:r>
              <w:rPr>
                <w:rFonts w:ascii="Times New Roman" w:hAnsi="Times New Roman"/>
                <w:sz w:val="20"/>
              </w:rPr>
              <w:t>colegiados</w:t>
            </w:r>
            <w:r>
              <w:rPr>
                <w:rFonts w:ascii="Times New Roman" w:hAnsi="Times New Roman"/>
                <w:spacing w:val="38"/>
                <w:sz w:val="20"/>
              </w:rPr>
              <w:t> </w:t>
            </w:r>
            <w:r>
              <w:rPr>
                <w:rFonts w:ascii="Times New Roman" w:hAnsi="Times New Roman"/>
                <w:sz w:val="20"/>
              </w:rPr>
              <w:t>que</w:t>
            </w:r>
            <w:r>
              <w:rPr>
                <w:rFonts w:ascii="Times New Roman" w:hAnsi="Times New Roman"/>
                <w:spacing w:val="38"/>
                <w:sz w:val="20"/>
              </w:rPr>
              <w:t> </w:t>
            </w:r>
            <w:r>
              <w:rPr>
                <w:rFonts w:ascii="Times New Roman" w:hAnsi="Times New Roman"/>
                <w:sz w:val="20"/>
              </w:rPr>
              <w:t>están relacionados con</w:t>
            </w:r>
            <w:r>
              <w:rPr>
                <w:rFonts w:ascii="Times New Roman" w:hAnsi="Times New Roman"/>
                <w:spacing w:val="38"/>
                <w:sz w:val="20"/>
              </w:rPr>
              <w:t> </w:t>
            </w:r>
            <w:r>
              <w:rPr>
                <w:rFonts w:ascii="Times New Roman" w:hAnsi="Times New Roman"/>
                <w:sz w:val="20"/>
              </w:rPr>
              <w:t>el</w:t>
            </w:r>
            <w:r>
              <w:rPr>
                <w:rFonts w:ascii="Times New Roman" w:hAnsi="Times New Roman"/>
                <w:spacing w:val="39"/>
                <w:sz w:val="20"/>
              </w:rPr>
              <w:t> </w:t>
            </w:r>
            <w:r>
              <w:rPr>
                <w:rFonts w:ascii="Times New Roman" w:hAnsi="Times New Roman"/>
                <w:sz w:val="20"/>
              </w:rPr>
              <w:t>S.C.S. (s/relacion) Pól. Nº 530001290</w:t>
              <w:tab/>
              <w:t>Agrup. Aseguradora AMA</w:t>
            </w:r>
          </w:p>
          <w:p>
            <w:pPr>
              <w:pStyle w:val="TableParagraph"/>
              <w:spacing w:before="2"/>
              <w:ind w:left="53"/>
              <w:rPr>
                <w:rFonts w:ascii="Times New Roman" w:hAnsi="Times New Roman"/>
                <w:sz w:val="20"/>
              </w:rPr>
            </w:pPr>
            <w:r>
              <w:rPr>
                <w:rFonts w:ascii="Times New Roman" w:hAnsi="Times New Roman"/>
                <w:sz w:val="20"/>
              </w:rPr>
              <w:t>Pól.</w:t>
            </w:r>
            <w:r>
              <w:rPr>
                <w:rFonts w:ascii="Times New Roman" w:hAnsi="Times New Roman"/>
                <w:spacing w:val="6"/>
                <w:sz w:val="20"/>
              </w:rPr>
              <w:t> </w:t>
            </w:r>
            <w:r>
              <w:rPr>
                <w:rFonts w:ascii="Times New Roman" w:hAnsi="Times New Roman"/>
                <w:sz w:val="20"/>
              </w:rPr>
              <w:t>Nº</w:t>
            </w:r>
            <w:r>
              <w:rPr>
                <w:rFonts w:ascii="Times New Roman" w:hAnsi="Times New Roman"/>
                <w:spacing w:val="5"/>
                <w:sz w:val="20"/>
              </w:rPr>
              <w:t> </w:t>
            </w:r>
            <w:r>
              <w:rPr>
                <w:rFonts w:ascii="Times New Roman" w:hAnsi="Times New Roman"/>
                <w:sz w:val="20"/>
              </w:rPr>
              <w:t>MML121C08185</w:t>
            </w:r>
            <w:r>
              <w:rPr>
                <w:rFonts w:ascii="Times New Roman" w:hAnsi="Times New Roman"/>
                <w:spacing w:val="32"/>
                <w:sz w:val="20"/>
              </w:rPr>
              <w:t>  </w:t>
            </w:r>
            <w:r>
              <w:rPr>
                <w:rFonts w:ascii="Times New Roman" w:hAnsi="Times New Roman"/>
                <w:sz w:val="20"/>
              </w:rPr>
              <w:t>W.R.Berckey</w:t>
            </w:r>
            <w:r>
              <w:rPr>
                <w:rFonts w:ascii="Times New Roman" w:hAnsi="Times New Roman"/>
                <w:spacing w:val="5"/>
                <w:sz w:val="20"/>
              </w:rPr>
              <w:t> </w:t>
            </w:r>
            <w:r>
              <w:rPr>
                <w:rFonts w:ascii="Times New Roman" w:hAnsi="Times New Roman"/>
                <w:spacing w:val="-2"/>
                <w:sz w:val="20"/>
              </w:rPr>
              <w:t>España</w:t>
            </w:r>
          </w:p>
        </w:tc>
        <w:tc>
          <w:tcPr>
            <w:tcW w:w="1541" w:type="dxa"/>
            <w:tcBorders>
              <w:left w:val="single" w:sz="2" w:space="0" w:color="000000"/>
            </w:tcBorders>
          </w:tcPr>
          <w:p>
            <w:pPr>
              <w:pStyle w:val="TableParagraph"/>
              <w:spacing w:before="212"/>
              <w:rPr>
                <w:rFonts w:ascii="Times New Roman"/>
                <w:sz w:val="20"/>
              </w:rPr>
            </w:pPr>
          </w:p>
          <w:p>
            <w:pPr>
              <w:pStyle w:val="TableParagraph"/>
              <w:ind w:right="112"/>
              <w:jc w:val="center"/>
              <w:rPr>
                <w:rFonts w:ascii="Times New Roman" w:hAnsi="Times New Roman"/>
                <w:sz w:val="20"/>
              </w:rPr>
            </w:pPr>
            <w:r>
              <w:rPr>
                <w:rFonts w:ascii="Times New Roman" w:hAnsi="Times New Roman"/>
                <w:sz w:val="20"/>
              </w:rPr>
              <w:t>811.563,12</w:t>
            </w:r>
            <w:r>
              <w:rPr>
                <w:rFonts w:ascii="Times New Roman" w:hAnsi="Times New Roman"/>
                <w:spacing w:val="10"/>
                <w:sz w:val="20"/>
              </w:rPr>
              <w:t> </w:t>
            </w:r>
            <w:r>
              <w:rPr>
                <w:rFonts w:ascii="Times New Roman" w:hAnsi="Times New Roman"/>
                <w:spacing w:val="-10"/>
                <w:sz w:val="20"/>
              </w:rPr>
              <w:t>€</w:t>
            </w:r>
          </w:p>
        </w:tc>
        <w:tc>
          <w:tcPr>
            <w:tcW w:w="864" w:type="dxa"/>
          </w:tcPr>
          <w:p>
            <w:pPr>
              <w:pStyle w:val="TableParagraph"/>
              <w:rPr>
                <w:rFonts w:ascii="Times New Roman"/>
                <w:sz w:val="18"/>
              </w:rPr>
            </w:pPr>
          </w:p>
        </w:tc>
      </w:tr>
      <w:tr>
        <w:trPr>
          <w:trHeight w:val="347" w:hRule="atLeast"/>
        </w:trPr>
        <w:tc>
          <w:tcPr>
            <w:tcW w:w="1199" w:type="dxa"/>
            <w:vMerge w:val="restart"/>
            <w:tcBorders>
              <w:top w:val="single" w:sz="2" w:space="0" w:color="000000"/>
              <w:left w:val="single" w:sz="2" w:space="0" w:color="000000"/>
              <w:bottom w:val="single" w:sz="2" w:space="0" w:color="000000"/>
              <w:right w:val="single" w:sz="2" w:space="0" w:color="000000"/>
            </w:tcBorders>
          </w:tcPr>
          <w:p>
            <w:pPr>
              <w:pStyle w:val="TableParagraph"/>
              <w:spacing w:before="45"/>
              <w:ind w:left="53"/>
              <w:rPr>
                <w:rFonts w:ascii="Times New Roman"/>
                <w:b/>
                <w:sz w:val="20"/>
              </w:rPr>
            </w:pPr>
            <w:r>
              <w:rPr>
                <w:rFonts w:ascii="Times New Roman"/>
                <w:b/>
                <w:spacing w:val="-2"/>
                <w:sz w:val="20"/>
              </w:rPr>
              <w:t>INGRESOS</w:t>
            </w:r>
          </w:p>
        </w:tc>
        <w:tc>
          <w:tcPr>
            <w:tcW w:w="5319" w:type="dxa"/>
            <w:tcBorders>
              <w:left w:val="single" w:sz="2" w:space="0" w:color="000000"/>
              <w:bottom w:val="single" w:sz="2" w:space="0" w:color="000000"/>
              <w:right w:val="single" w:sz="2" w:space="0" w:color="000000"/>
            </w:tcBorders>
          </w:tcPr>
          <w:p>
            <w:pPr>
              <w:pStyle w:val="TableParagraph"/>
              <w:spacing w:before="45"/>
              <w:ind w:left="53"/>
              <w:rPr>
                <w:rFonts w:ascii="Times New Roman" w:hAnsi="Times New Roman"/>
                <w:sz w:val="20"/>
              </w:rPr>
            </w:pPr>
            <w:r>
              <w:rPr>
                <w:rFonts w:ascii="Times New Roman" w:hAnsi="Times New Roman"/>
                <w:sz w:val="20"/>
              </w:rPr>
              <w:t>Subvención</w:t>
            </w:r>
            <w:r>
              <w:rPr>
                <w:rFonts w:ascii="Times New Roman" w:hAnsi="Times New Roman"/>
                <w:spacing w:val="10"/>
                <w:sz w:val="20"/>
              </w:rPr>
              <w:t> </w:t>
            </w:r>
            <w:r>
              <w:rPr>
                <w:rFonts w:ascii="Times New Roman" w:hAnsi="Times New Roman"/>
                <w:sz w:val="20"/>
              </w:rPr>
              <w:t>nominada</w:t>
            </w:r>
            <w:r>
              <w:rPr>
                <w:rFonts w:ascii="Times New Roman" w:hAnsi="Times New Roman"/>
                <w:spacing w:val="11"/>
                <w:sz w:val="20"/>
              </w:rPr>
              <w:t> </w:t>
            </w:r>
            <w:r>
              <w:rPr>
                <w:rFonts w:ascii="Times New Roman" w:hAnsi="Times New Roman"/>
                <w:sz w:val="20"/>
              </w:rPr>
              <w:t>del</w:t>
            </w:r>
            <w:r>
              <w:rPr>
                <w:rFonts w:ascii="Times New Roman" w:hAnsi="Times New Roman"/>
                <w:spacing w:val="8"/>
                <w:sz w:val="20"/>
              </w:rPr>
              <w:t> </w:t>
            </w:r>
            <w:r>
              <w:rPr>
                <w:rFonts w:ascii="Times New Roman" w:hAnsi="Times New Roman"/>
                <w:spacing w:val="-2"/>
                <w:sz w:val="20"/>
              </w:rPr>
              <w:t>S.C.S.</w:t>
            </w:r>
          </w:p>
        </w:tc>
        <w:tc>
          <w:tcPr>
            <w:tcW w:w="1541" w:type="dxa"/>
            <w:tcBorders>
              <w:left w:val="single" w:sz="2" w:space="0" w:color="000000"/>
              <w:bottom w:val="single" w:sz="2" w:space="0" w:color="000000"/>
              <w:right w:val="single" w:sz="2" w:space="0" w:color="000000"/>
            </w:tcBorders>
          </w:tcPr>
          <w:p>
            <w:pPr>
              <w:pStyle w:val="TableParagraph"/>
              <w:spacing w:before="45"/>
              <w:ind w:left="18" w:right="124"/>
              <w:jc w:val="center"/>
              <w:rPr>
                <w:rFonts w:ascii="Times New Roman" w:hAnsi="Times New Roman"/>
                <w:sz w:val="20"/>
              </w:rPr>
            </w:pPr>
            <w:r>
              <w:rPr>
                <w:rFonts w:ascii="Times New Roman" w:hAnsi="Times New Roman"/>
                <w:sz w:val="20"/>
              </w:rPr>
              <w:t>148.449,00</w:t>
            </w:r>
            <w:r>
              <w:rPr>
                <w:rFonts w:ascii="Times New Roman" w:hAnsi="Times New Roman"/>
                <w:spacing w:val="16"/>
                <w:sz w:val="20"/>
              </w:rPr>
              <w:t> </w:t>
            </w:r>
            <w:r>
              <w:rPr>
                <w:rFonts w:ascii="Times New Roman" w:hAnsi="Times New Roman"/>
                <w:spacing w:val="-10"/>
                <w:sz w:val="20"/>
              </w:rPr>
              <w:t>€</w:t>
            </w:r>
          </w:p>
        </w:tc>
        <w:tc>
          <w:tcPr>
            <w:tcW w:w="864" w:type="dxa"/>
            <w:tcBorders>
              <w:left w:val="single" w:sz="2" w:space="0" w:color="000000"/>
              <w:bottom w:val="single" w:sz="2" w:space="0" w:color="000000"/>
              <w:right w:val="single" w:sz="2" w:space="0" w:color="000000"/>
            </w:tcBorders>
          </w:tcPr>
          <w:p>
            <w:pPr>
              <w:pStyle w:val="TableParagraph"/>
              <w:spacing w:before="45"/>
              <w:ind w:left="166"/>
              <w:rPr>
                <w:rFonts w:ascii="Times New Roman"/>
                <w:sz w:val="20"/>
              </w:rPr>
            </w:pPr>
            <w:r>
              <w:rPr>
                <w:rFonts w:ascii="Times New Roman"/>
                <w:spacing w:val="-2"/>
                <w:sz w:val="20"/>
              </w:rPr>
              <w:t>18,29%</w:t>
            </w:r>
          </w:p>
        </w:tc>
      </w:tr>
      <w:tr>
        <w:trPr>
          <w:trHeight w:val="354" w:hRule="atLeast"/>
        </w:trPr>
        <w:tc>
          <w:tcPr>
            <w:tcW w:w="1199" w:type="dxa"/>
            <w:vMerge/>
            <w:tcBorders>
              <w:top w:val="nil"/>
              <w:left w:val="single" w:sz="2" w:space="0" w:color="000000"/>
              <w:bottom w:val="single" w:sz="2" w:space="0" w:color="000000"/>
              <w:right w:val="single" w:sz="2" w:space="0" w:color="000000"/>
            </w:tcBorders>
          </w:tcPr>
          <w:p>
            <w:pPr>
              <w:rPr>
                <w:sz w:val="2"/>
                <w:szCs w:val="2"/>
              </w:rPr>
            </w:pPr>
          </w:p>
        </w:tc>
        <w:tc>
          <w:tcPr>
            <w:tcW w:w="5319"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8"/>
              </w:rPr>
            </w:pPr>
          </w:p>
        </w:tc>
        <w:tc>
          <w:tcPr>
            <w:tcW w:w="1541"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8"/>
              </w:rPr>
            </w:pPr>
          </w:p>
        </w:tc>
        <w:tc>
          <w:tcPr>
            <w:tcW w:w="864" w:type="dxa"/>
            <w:tcBorders>
              <w:top w:val="single" w:sz="2" w:space="0" w:color="000000"/>
              <w:left w:val="single" w:sz="2" w:space="0" w:color="000000"/>
              <w:bottom w:val="single" w:sz="2" w:space="0" w:color="000000"/>
              <w:right w:val="single" w:sz="2" w:space="0" w:color="000000"/>
            </w:tcBorders>
          </w:tcPr>
          <w:p>
            <w:pPr>
              <w:pStyle w:val="TableParagraph"/>
              <w:rPr>
                <w:rFonts w:ascii="Times New Roman"/>
                <w:sz w:val="18"/>
              </w:rPr>
            </w:pPr>
          </w:p>
        </w:tc>
      </w:tr>
      <w:tr>
        <w:trPr>
          <w:trHeight w:val="354" w:hRule="atLeast"/>
        </w:trPr>
        <w:tc>
          <w:tcPr>
            <w:tcW w:w="1199" w:type="dxa"/>
            <w:vMerge/>
            <w:tcBorders>
              <w:top w:val="nil"/>
              <w:left w:val="single" w:sz="2" w:space="0" w:color="000000"/>
              <w:bottom w:val="single" w:sz="2" w:space="0" w:color="000000"/>
              <w:right w:val="single" w:sz="2" w:space="0" w:color="000000"/>
            </w:tcBorders>
          </w:tcPr>
          <w:p>
            <w:pPr>
              <w:rPr>
                <w:sz w:val="2"/>
                <w:szCs w:val="2"/>
              </w:rPr>
            </w:pPr>
          </w:p>
        </w:tc>
        <w:tc>
          <w:tcPr>
            <w:tcW w:w="5319" w:type="dxa"/>
            <w:tcBorders>
              <w:top w:val="single" w:sz="2" w:space="0" w:color="000000"/>
              <w:left w:val="single" w:sz="2" w:space="0" w:color="000000"/>
              <w:bottom w:val="single" w:sz="2" w:space="0" w:color="000000"/>
              <w:right w:val="single" w:sz="2" w:space="0" w:color="000000"/>
            </w:tcBorders>
          </w:tcPr>
          <w:p>
            <w:pPr>
              <w:pStyle w:val="TableParagraph"/>
              <w:spacing w:before="49"/>
              <w:ind w:left="53"/>
              <w:rPr>
                <w:rFonts w:ascii="Times New Roman"/>
                <w:sz w:val="20"/>
              </w:rPr>
            </w:pPr>
            <w:r>
              <w:rPr>
                <w:rFonts w:ascii="Times New Roman"/>
                <w:sz w:val="20"/>
              </w:rPr>
              <w:t>Recursos</w:t>
            </w:r>
            <w:r>
              <w:rPr>
                <w:rFonts w:ascii="Times New Roman"/>
                <w:spacing w:val="12"/>
                <w:sz w:val="20"/>
              </w:rPr>
              <w:t> </w:t>
            </w:r>
            <w:r>
              <w:rPr>
                <w:rFonts w:ascii="Times New Roman"/>
                <w:spacing w:val="-2"/>
                <w:sz w:val="20"/>
              </w:rPr>
              <w:t>propios</w:t>
            </w:r>
          </w:p>
        </w:tc>
        <w:tc>
          <w:tcPr>
            <w:tcW w:w="1541" w:type="dxa"/>
            <w:tcBorders>
              <w:top w:val="single" w:sz="2" w:space="0" w:color="000000"/>
              <w:left w:val="single" w:sz="2" w:space="0" w:color="000000"/>
              <w:bottom w:val="single" w:sz="2" w:space="0" w:color="000000"/>
              <w:right w:val="single" w:sz="2" w:space="0" w:color="000000"/>
            </w:tcBorders>
          </w:tcPr>
          <w:p>
            <w:pPr>
              <w:pStyle w:val="TableParagraph"/>
              <w:spacing w:before="61"/>
              <w:ind w:left="44" w:right="106"/>
              <w:jc w:val="center"/>
              <w:rPr>
                <w:rFonts w:ascii="Times New Roman" w:hAnsi="Times New Roman"/>
                <w:sz w:val="20"/>
              </w:rPr>
            </w:pPr>
            <w:r>
              <w:rPr>
                <w:rFonts w:ascii="Times New Roman" w:hAnsi="Times New Roman"/>
                <w:spacing w:val="-2"/>
                <w:sz w:val="20"/>
              </w:rPr>
              <w:t>633.114,12€</w:t>
            </w:r>
          </w:p>
        </w:tc>
        <w:tc>
          <w:tcPr>
            <w:tcW w:w="864" w:type="dxa"/>
            <w:tcBorders>
              <w:top w:val="single" w:sz="2" w:space="0" w:color="000000"/>
              <w:left w:val="single" w:sz="2" w:space="0" w:color="000000"/>
              <w:bottom w:val="single" w:sz="2" w:space="0" w:color="000000"/>
              <w:right w:val="single" w:sz="2" w:space="0" w:color="000000"/>
            </w:tcBorders>
          </w:tcPr>
          <w:p>
            <w:pPr>
              <w:pStyle w:val="TableParagraph"/>
              <w:spacing w:before="49"/>
              <w:ind w:left="218"/>
              <w:rPr>
                <w:rFonts w:ascii="Times New Roman"/>
                <w:sz w:val="20"/>
              </w:rPr>
            </w:pPr>
            <w:r>
              <w:rPr>
                <w:rFonts w:ascii="Times New Roman"/>
                <w:spacing w:val="-2"/>
                <w:sz w:val="20"/>
              </w:rPr>
              <w:t>81,71%</w:t>
            </w:r>
          </w:p>
        </w:tc>
      </w:tr>
      <w:tr>
        <w:trPr>
          <w:trHeight w:val="354" w:hRule="atLeast"/>
        </w:trPr>
        <w:tc>
          <w:tcPr>
            <w:tcW w:w="6518" w:type="dxa"/>
            <w:gridSpan w:val="2"/>
            <w:tcBorders>
              <w:top w:val="single" w:sz="2" w:space="0" w:color="000000"/>
              <w:left w:val="single" w:sz="2" w:space="0" w:color="000000"/>
              <w:bottom w:val="single" w:sz="2" w:space="0" w:color="000000"/>
              <w:right w:val="single" w:sz="2" w:space="0" w:color="000000"/>
            </w:tcBorders>
          </w:tcPr>
          <w:p>
            <w:pPr>
              <w:pStyle w:val="TableParagraph"/>
              <w:spacing w:before="49"/>
              <w:ind w:left="1829"/>
              <w:rPr>
                <w:rFonts w:ascii="Times New Roman"/>
                <w:b/>
                <w:sz w:val="20"/>
              </w:rPr>
            </w:pPr>
            <w:r>
              <w:rPr>
                <w:rFonts w:ascii="Times New Roman"/>
                <w:b/>
                <w:sz w:val="20"/>
              </w:rPr>
              <w:t>TOTAL</w:t>
            </w:r>
            <w:r>
              <w:rPr>
                <w:rFonts w:ascii="Times New Roman"/>
                <w:b/>
                <w:spacing w:val="-8"/>
                <w:sz w:val="20"/>
              </w:rPr>
              <w:t> </w:t>
            </w:r>
            <w:r>
              <w:rPr>
                <w:rFonts w:ascii="Times New Roman"/>
                <w:b/>
                <w:sz w:val="20"/>
              </w:rPr>
              <w:t>INGRESOS</w:t>
            </w:r>
            <w:r>
              <w:rPr>
                <w:rFonts w:ascii="Times New Roman"/>
                <w:b/>
                <w:spacing w:val="-5"/>
                <w:sz w:val="20"/>
              </w:rPr>
              <w:t> </w:t>
            </w:r>
            <w:r>
              <w:rPr>
                <w:rFonts w:ascii="Times New Roman"/>
                <w:b/>
                <w:sz w:val="20"/>
              </w:rPr>
              <w:t>Y</w:t>
            </w:r>
            <w:r>
              <w:rPr>
                <w:rFonts w:ascii="Times New Roman"/>
                <w:b/>
                <w:spacing w:val="-3"/>
                <w:sz w:val="20"/>
              </w:rPr>
              <w:t> </w:t>
            </w:r>
            <w:r>
              <w:rPr>
                <w:rFonts w:ascii="Times New Roman"/>
                <w:b/>
                <w:spacing w:val="-2"/>
                <w:sz w:val="20"/>
              </w:rPr>
              <w:t>GASTOS</w:t>
            </w:r>
          </w:p>
        </w:tc>
        <w:tc>
          <w:tcPr>
            <w:tcW w:w="1541" w:type="dxa"/>
            <w:tcBorders>
              <w:top w:val="single" w:sz="2" w:space="0" w:color="000000"/>
              <w:left w:val="single" w:sz="2" w:space="0" w:color="000000"/>
              <w:bottom w:val="single" w:sz="2" w:space="0" w:color="000000"/>
              <w:right w:val="single" w:sz="2" w:space="0" w:color="000000"/>
            </w:tcBorders>
          </w:tcPr>
          <w:p>
            <w:pPr>
              <w:pStyle w:val="TableParagraph"/>
              <w:spacing w:before="61"/>
              <w:ind w:left="124" w:right="106"/>
              <w:jc w:val="center"/>
              <w:rPr>
                <w:rFonts w:ascii="Times New Roman" w:hAnsi="Times New Roman"/>
                <w:b/>
                <w:sz w:val="20"/>
              </w:rPr>
            </w:pPr>
            <w:r>
              <w:rPr>
                <w:rFonts w:ascii="Times New Roman" w:hAnsi="Times New Roman"/>
                <w:b/>
                <w:sz w:val="20"/>
              </w:rPr>
              <w:t>811.563,12</w:t>
            </w:r>
            <w:r>
              <w:rPr>
                <w:rFonts w:ascii="Times New Roman" w:hAnsi="Times New Roman"/>
                <w:b/>
                <w:spacing w:val="4"/>
                <w:sz w:val="20"/>
              </w:rPr>
              <w:t> </w:t>
            </w:r>
            <w:r>
              <w:rPr>
                <w:rFonts w:ascii="Times New Roman" w:hAnsi="Times New Roman"/>
                <w:b/>
                <w:spacing w:val="-10"/>
                <w:sz w:val="20"/>
              </w:rPr>
              <w:t>€</w:t>
            </w:r>
          </w:p>
        </w:tc>
        <w:tc>
          <w:tcPr>
            <w:tcW w:w="864" w:type="dxa"/>
            <w:tcBorders>
              <w:top w:val="single" w:sz="2" w:space="0" w:color="000000"/>
              <w:left w:val="single" w:sz="2" w:space="0" w:color="000000"/>
              <w:bottom w:val="single" w:sz="2" w:space="0" w:color="000000"/>
              <w:right w:val="single" w:sz="2" w:space="0" w:color="000000"/>
            </w:tcBorders>
          </w:tcPr>
          <w:p>
            <w:pPr>
              <w:pStyle w:val="TableParagraph"/>
              <w:spacing w:before="49"/>
              <w:ind w:left="59"/>
              <w:rPr>
                <w:rFonts w:ascii="Times New Roman"/>
                <w:sz w:val="20"/>
              </w:rPr>
            </w:pPr>
            <w:r>
              <w:rPr>
                <w:rFonts w:ascii="Times New Roman"/>
                <w:spacing w:val="-2"/>
                <w:sz w:val="20"/>
              </w:rPr>
              <w:t>100,00%</w:t>
            </w:r>
          </w:p>
        </w:tc>
      </w:tr>
    </w:tbl>
    <w:p>
      <w:pPr>
        <w:pStyle w:val="BodyText"/>
      </w:pPr>
    </w:p>
    <w:p>
      <w:pPr>
        <w:pStyle w:val="BodyText"/>
        <w:spacing w:before="17"/>
      </w:pPr>
    </w:p>
    <w:p>
      <w:pPr>
        <w:pStyle w:val="BodyText"/>
        <w:spacing w:line="244" w:lineRule="auto"/>
        <w:ind w:left="1163" w:right="1054"/>
        <w:jc w:val="both"/>
      </w:pPr>
      <w:r>
        <w:rPr/>
        <w:t>La solicitud de subvención se acompaña de la documentación exigida en el artículo 15 del Decreto 36/2009, de 31 de marzo, por el que se establece el Régimen General de Subvenciones de la Comunidad Autónoma de Canarias.</w:t>
      </w:r>
    </w:p>
    <w:p>
      <w:pPr>
        <w:pStyle w:val="BodyText"/>
        <w:spacing w:before="6"/>
      </w:pPr>
    </w:p>
    <w:p>
      <w:pPr>
        <w:pStyle w:val="BodyText"/>
        <w:spacing w:before="1"/>
        <w:ind w:left="1163"/>
        <w:jc w:val="both"/>
      </w:pPr>
      <w:r>
        <w:rPr/>
        <w:t>El</w:t>
      </w:r>
      <w:r>
        <w:rPr>
          <w:spacing w:val="-2"/>
        </w:rPr>
        <w:t> </w:t>
      </w:r>
      <w:r>
        <w:rPr/>
        <w:t>importe</w:t>
      </w:r>
      <w:r>
        <w:rPr>
          <w:spacing w:val="1"/>
        </w:rPr>
        <w:t> </w:t>
      </w:r>
      <w:r>
        <w:rPr/>
        <w:t>de</w:t>
      </w:r>
      <w:r>
        <w:rPr>
          <w:spacing w:val="-2"/>
        </w:rPr>
        <w:t> </w:t>
      </w:r>
      <w:r>
        <w:rPr/>
        <w:t>la</w:t>
      </w:r>
      <w:r>
        <w:rPr>
          <w:spacing w:val="-1"/>
        </w:rPr>
        <w:t> </w:t>
      </w:r>
      <w:r>
        <w:rPr/>
        <w:t>subvención</w:t>
      </w:r>
      <w:r>
        <w:rPr>
          <w:spacing w:val="-2"/>
        </w:rPr>
        <w:t> </w:t>
      </w:r>
      <w:r>
        <w:rPr/>
        <w:t>supone</w:t>
      </w:r>
      <w:r>
        <w:rPr>
          <w:spacing w:val="1"/>
        </w:rPr>
        <w:t> </w:t>
      </w:r>
      <w:r>
        <w:rPr/>
        <w:t>un</w:t>
      </w:r>
      <w:r>
        <w:rPr>
          <w:spacing w:val="1"/>
        </w:rPr>
        <w:t> </w:t>
      </w:r>
      <w:r>
        <w:rPr/>
        <w:t>18,29%</w:t>
      </w:r>
      <w:r>
        <w:rPr>
          <w:spacing w:val="-1"/>
        </w:rPr>
        <w:t> </w:t>
      </w:r>
      <w:r>
        <w:rPr/>
        <w:t>del importe</w:t>
      </w:r>
      <w:r>
        <w:rPr>
          <w:spacing w:val="-2"/>
        </w:rPr>
        <w:t> </w:t>
      </w:r>
      <w:r>
        <w:rPr/>
        <w:t>total</w:t>
      </w:r>
      <w:r>
        <w:rPr>
          <w:spacing w:val="-1"/>
        </w:rPr>
        <w:t> </w:t>
      </w:r>
      <w:r>
        <w:rPr/>
        <w:t>del</w:t>
      </w:r>
      <w:r>
        <w:rPr>
          <w:spacing w:val="-1"/>
        </w:rPr>
        <w:t> </w:t>
      </w:r>
      <w:r>
        <w:rPr/>
        <w:t>presupuesto</w:t>
      </w:r>
      <w:r>
        <w:rPr>
          <w:spacing w:val="-1"/>
        </w:rPr>
        <w:t> </w:t>
      </w:r>
      <w:r>
        <w:rPr/>
        <w:t>del</w:t>
      </w:r>
      <w:r>
        <w:rPr>
          <w:spacing w:val="1"/>
        </w:rPr>
        <w:t> </w:t>
      </w:r>
      <w:r>
        <w:rPr/>
        <w:t>proyecto</w:t>
      </w:r>
      <w:r>
        <w:rPr>
          <w:spacing w:val="-2"/>
        </w:rPr>
        <w:t> presentado.</w:t>
      </w:r>
    </w:p>
    <w:p>
      <w:pPr>
        <w:spacing w:line="244" w:lineRule="auto" w:before="221"/>
        <w:ind w:left="1163" w:right="898" w:firstLine="0"/>
        <w:jc w:val="both"/>
        <w:rPr>
          <w:sz w:val="20"/>
        </w:rPr>
      </w:pPr>
      <w:r>
        <w:rPr>
          <w:b/>
          <w:sz w:val="20"/>
        </w:rPr>
        <w:t>Cuarto. - </w:t>
      </w:r>
      <w:r>
        <w:rPr>
          <w:sz w:val="20"/>
        </w:rPr>
        <w:t>Existe crédito adecuado y suficiente en la aplicación presupuestaria 3918.311A</w:t>
      </w:r>
      <w:r>
        <w:rPr>
          <w:spacing w:val="-7"/>
          <w:sz w:val="20"/>
        </w:rPr>
        <w:t> </w:t>
      </w:r>
      <w:r>
        <w:rPr>
          <w:sz w:val="20"/>
        </w:rPr>
        <w:t>48001.14458002 denominada “</w:t>
      </w:r>
      <w:r>
        <w:rPr>
          <w:i/>
          <w:sz w:val="20"/>
        </w:rPr>
        <w:t>Colegio Oficial de Médicos de Santa Cruz de Tenerife”</w:t>
      </w:r>
      <w:r>
        <w:rPr>
          <w:sz w:val="20"/>
        </w:rPr>
        <w:t>, por importe de 148.449 euros.</w:t>
      </w:r>
    </w:p>
    <w:p>
      <w:pPr>
        <w:pStyle w:val="BodyText"/>
        <w:spacing w:line="244" w:lineRule="auto" w:before="228"/>
        <w:ind w:left="1163" w:right="899"/>
        <w:jc w:val="both"/>
      </w:pPr>
      <w:r>
        <w:rPr>
          <w:b/>
        </w:rPr>
        <w:t>Quinto.</w:t>
      </w:r>
      <w:r>
        <w:rPr>
          <w:b/>
          <w:spacing w:val="20"/>
        </w:rPr>
        <w:t> </w:t>
      </w:r>
      <w:r>
        <w:rPr>
          <w:b/>
        </w:rPr>
        <w:t>-</w:t>
      </w:r>
      <w:r>
        <w:rPr>
          <w:b/>
          <w:spacing w:val="22"/>
        </w:rPr>
        <w:t> </w:t>
      </w:r>
      <w:r>
        <w:rPr/>
        <w:t>La</w:t>
      </w:r>
      <w:r>
        <w:rPr>
          <w:spacing w:val="20"/>
        </w:rPr>
        <w:t> </w:t>
      </w:r>
      <w:r>
        <w:rPr/>
        <w:t>presente</w:t>
      </w:r>
      <w:r>
        <w:rPr>
          <w:spacing w:val="20"/>
        </w:rPr>
        <w:t> </w:t>
      </w:r>
      <w:r>
        <w:rPr/>
        <w:t>subvención</w:t>
      </w:r>
      <w:r>
        <w:rPr>
          <w:spacing w:val="20"/>
        </w:rPr>
        <w:t> </w:t>
      </w:r>
      <w:r>
        <w:rPr/>
        <w:t>se</w:t>
      </w:r>
      <w:r>
        <w:rPr>
          <w:spacing w:val="20"/>
        </w:rPr>
        <w:t> </w:t>
      </w:r>
      <w:r>
        <w:rPr/>
        <w:t>puede</w:t>
      </w:r>
      <w:r>
        <w:rPr>
          <w:spacing w:val="20"/>
        </w:rPr>
        <w:t> </w:t>
      </w:r>
      <w:r>
        <w:rPr/>
        <w:t>conceder</w:t>
      </w:r>
      <w:r>
        <w:rPr>
          <w:spacing w:val="18"/>
        </w:rPr>
        <w:t> </w:t>
      </w:r>
      <w:r>
        <w:rPr/>
        <w:t>de</w:t>
      </w:r>
      <w:r>
        <w:rPr>
          <w:spacing w:val="20"/>
        </w:rPr>
        <w:t> </w:t>
      </w:r>
      <w:r>
        <w:rPr/>
        <w:t>forma</w:t>
      </w:r>
      <w:r>
        <w:rPr>
          <w:spacing w:val="20"/>
        </w:rPr>
        <w:t> </w:t>
      </w:r>
      <w:r>
        <w:rPr/>
        <w:t>directa,</w:t>
      </w:r>
      <w:r>
        <w:rPr>
          <w:spacing w:val="20"/>
        </w:rPr>
        <w:t> </w:t>
      </w:r>
      <w:r>
        <w:rPr/>
        <w:t>al</w:t>
      </w:r>
      <w:r>
        <w:rPr>
          <w:spacing w:val="20"/>
        </w:rPr>
        <w:t> </w:t>
      </w:r>
      <w:r>
        <w:rPr/>
        <w:t>estar</w:t>
      </w:r>
      <w:r>
        <w:rPr>
          <w:spacing w:val="20"/>
        </w:rPr>
        <w:t> </w:t>
      </w:r>
      <w:r>
        <w:rPr/>
        <w:t>prevista</w:t>
      </w:r>
      <w:r>
        <w:rPr>
          <w:spacing w:val="20"/>
        </w:rPr>
        <w:t> </w:t>
      </w:r>
      <w:r>
        <w:rPr/>
        <w:t>nominativamente en la Ley 5/2024, de 26 de diciembre, de Presupuestos Generales de la Comunidad</w:t>
      </w:r>
      <w:r>
        <w:rPr>
          <w:spacing w:val="-3"/>
        </w:rPr>
        <w:t> </w:t>
      </w:r>
      <w:r>
        <w:rPr/>
        <w:t>Autónoma de Canarias para 2025.</w:t>
      </w:r>
    </w:p>
    <w:p>
      <w:pPr>
        <w:pStyle w:val="BodyText"/>
      </w:pPr>
    </w:p>
    <w:p>
      <w:pPr>
        <w:pStyle w:val="BodyText"/>
        <w:spacing w:before="16"/>
      </w:pPr>
    </w:p>
    <w:p>
      <w:pPr>
        <w:pStyle w:val="BodyText"/>
        <w:ind w:left="1163"/>
        <w:jc w:val="both"/>
      </w:pPr>
      <w:r>
        <w:rPr/>
        <w:t>A</w:t>
      </w:r>
      <w:r>
        <w:rPr>
          <w:spacing w:val="-7"/>
        </w:rPr>
        <w:t> </w:t>
      </w:r>
      <w:r>
        <w:rPr/>
        <w:t>estos</w:t>
      </w:r>
      <w:r>
        <w:rPr>
          <w:spacing w:val="7"/>
        </w:rPr>
        <w:t> </w:t>
      </w:r>
      <w:r>
        <w:rPr/>
        <w:t>antecedentes</w:t>
      </w:r>
      <w:r>
        <w:rPr>
          <w:spacing w:val="4"/>
        </w:rPr>
        <w:t> </w:t>
      </w:r>
      <w:r>
        <w:rPr/>
        <w:t>le</w:t>
      </w:r>
      <w:r>
        <w:rPr>
          <w:spacing w:val="5"/>
        </w:rPr>
        <w:t> </w:t>
      </w:r>
      <w:r>
        <w:rPr/>
        <w:t>son</w:t>
      </w:r>
      <w:r>
        <w:rPr>
          <w:spacing w:val="5"/>
        </w:rPr>
        <w:t> </w:t>
      </w:r>
      <w:r>
        <w:rPr/>
        <w:t>de</w:t>
      </w:r>
      <w:r>
        <w:rPr>
          <w:spacing w:val="6"/>
        </w:rPr>
        <w:t> </w:t>
      </w:r>
      <w:r>
        <w:rPr/>
        <w:t>aplicación</w:t>
      </w:r>
      <w:r>
        <w:rPr>
          <w:spacing w:val="7"/>
        </w:rPr>
        <w:t> </w:t>
      </w:r>
      <w:r>
        <w:rPr/>
        <w:t>los</w:t>
      </w:r>
      <w:r>
        <w:rPr>
          <w:spacing w:val="7"/>
        </w:rPr>
        <w:t> </w:t>
      </w:r>
      <w:r>
        <w:rPr>
          <w:spacing w:val="-2"/>
        </w:rPr>
        <w:t>siguientes</w:t>
      </w:r>
    </w:p>
    <w:p>
      <w:pPr>
        <w:pStyle w:val="BodyText"/>
      </w:pPr>
    </w:p>
    <w:p>
      <w:pPr>
        <w:pStyle w:val="BodyText"/>
      </w:pPr>
    </w:p>
    <w:p>
      <w:pPr>
        <w:pStyle w:val="BodyText"/>
        <w:spacing w:before="110"/>
      </w:pPr>
    </w:p>
    <w:p>
      <w:pPr>
        <w:pStyle w:val="Heading1"/>
      </w:pPr>
      <w:r>
        <w:rPr/>
        <w:t>FUNDAMENTOS</w:t>
      </w:r>
      <w:r>
        <w:rPr>
          <w:spacing w:val="10"/>
        </w:rPr>
        <w:t> </w:t>
      </w:r>
      <w:r>
        <w:rPr/>
        <w:t>DE</w:t>
      </w:r>
      <w:r>
        <w:rPr>
          <w:spacing w:val="9"/>
        </w:rPr>
        <w:t> </w:t>
      </w:r>
      <w:r>
        <w:rPr>
          <w:spacing w:val="-2"/>
        </w:rPr>
        <w:t>DERECHO</w:t>
      </w:r>
    </w:p>
    <w:p>
      <w:pPr>
        <w:pStyle w:val="Heading1"/>
        <w:spacing w:after="0"/>
        <w:sectPr>
          <w:pgSz w:w="11900" w:h="16840"/>
          <w:pgMar w:header="923" w:footer="926" w:top="1900" w:bottom="1120" w:left="566" w:right="566"/>
        </w:sectPr>
      </w:pPr>
    </w:p>
    <w:p>
      <w:pPr>
        <w:pStyle w:val="BodyText"/>
        <w:spacing w:before="30"/>
        <w:rPr>
          <w:b/>
        </w:rPr>
      </w:pPr>
    </w:p>
    <w:p>
      <w:pPr>
        <w:pStyle w:val="BodyText"/>
        <w:spacing w:line="247" w:lineRule="auto" w:before="1"/>
        <w:ind w:left="1163" w:right="896"/>
        <w:jc w:val="both"/>
      </w:pPr>
      <w:r>
        <w:rPr>
          <w:b/>
        </w:rPr>
        <w:t>Primero. -</w:t>
      </w:r>
      <w:r>
        <w:rPr/>
        <w:t>Desde el punto de vista competencial, corresponde a la Consejera de Sanidad la concesión de la presente subvención conforme al artículo 3.1 del Decreto 36/2009, de 31 de marzo, por el que se establece</w:t>
      </w:r>
      <w:r>
        <w:rPr>
          <w:spacing w:val="80"/>
        </w:rPr>
        <w:t> </w:t>
      </w:r>
      <w:r>
        <w:rPr/>
        <w:t>el Régimen General de Subvenciones de la Comunidad Autónoma de Canarias.</w:t>
      </w:r>
    </w:p>
    <w:p>
      <w:pPr>
        <w:pStyle w:val="BodyText"/>
        <w:spacing w:line="247" w:lineRule="auto" w:before="162"/>
        <w:ind w:left="1163" w:right="893"/>
        <w:jc w:val="both"/>
      </w:pPr>
      <w:r>
        <w:rPr>
          <w:b/>
        </w:rPr>
        <w:t>Segundo. - </w:t>
      </w:r>
      <w:r>
        <w:rPr/>
        <w:t>El artículo 22.2.a) de la Ley 38/2003, de 17 de noviembre, General de Subvenciones, (LGS) así como el artículo 21 del Decreto 36/2009, de 31 de marzo, establecen que podrán concederse de forma</w:t>
      </w:r>
      <w:r>
        <w:rPr>
          <w:spacing w:val="40"/>
        </w:rPr>
        <w:t> </w:t>
      </w:r>
      <w:r>
        <w:rPr/>
        <w:t>directa aquellas subvenciones previstas nominativamente en los Presupuestos Generales del Estado. De acuerdo con ello, la presente subvención, tiene carácter directo.</w:t>
      </w:r>
    </w:p>
    <w:p>
      <w:pPr>
        <w:pStyle w:val="BodyText"/>
        <w:spacing w:line="244" w:lineRule="auto" w:before="163"/>
        <w:ind w:left="1163" w:right="901"/>
        <w:jc w:val="both"/>
      </w:pPr>
      <w:r>
        <w:rPr>
          <w:b/>
        </w:rPr>
        <w:t>Tercero</w:t>
      </w:r>
      <w:r>
        <w:rPr/>
        <w:t>. – La presente subvención se regirá, para lo no previsto en la presente orden, por los preceptos básicos de la LGS, por la Ley 11/2006, de 11 de diciembre, de Hacienda Pública de la Comunidad Autónoma de Canarias y por el D 36/2009 citado.</w:t>
      </w:r>
    </w:p>
    <w:p>
      <w:pPr>
        <w:pStyle w:val="BodyText"/>
        <w:spacing w:line="247" w:lineRule="auto" w:before="170"/>
        <w:ind w:left="1163" w:right="898"/>
        <w:jc w:val="both"/>
      </w:pPr>
      <w:r>
        <w:rPr>
          <w:b/>
        </w:rPr>
        <w:t>Cuarto. - </w:t>
      </w:r>
      <w:r>
        <w:rPr/>
        <w:t>Consta acreditado que el Colegio Oficial de Médicos de Santa Cruz de Tenerife cumple con los requisitos</w:t>
      </w:r>
      <w:r>
        <w:rPr>
          <w:spacing w:val="12"/>
        </w:rPr>
        <w:t> </w:t>
      </w:r>
      <w:r>
        <w:rPr/>
        <w:t>previstos</w:t>
      </w:r>
      <w:r>
        <w:rPr>
          <w:spacing w:val="12"/>
        </w:rPr>
        <w:t> </w:t>
      </w:r>
      <w:r>
        <w:rPr/>
        <w:t>en</w:t>
      </w:r>
      <w:r>
        <w:rPr>
          <w:spacing w:val="10"/>
        </w:rPr>
        <w:t> </w:t>
      </w:r>
      <w:r>
        <w:rPr/>
        <w:t>el</w:t>
      </w:r>
      <w:r>
        <w:rPr>
          <w:spacing w:val="11"/>
        </w:rPr>
        <w:t> </w:t>
      </w:r>
      <w:r>
        <w:rPr/>
        <w:t>artículo</w:t>
      </w:r>
      <w:r>
        <w:rPr>
          <w:spacing w:val="10"/>
        </w:rPr>
        <w:t> </w:t>
      </w:r>
      <w:r>
        <w:rPr/>
        <w:t>13</w:t>
      </w:r>
      <w:r>
        <w:rPr>
          <w:spacing w:val="12"/>
        </w:rPr>
        <w:t> </w:t>
      </w:r>
      <w:r>
        <w:rPr/>
        <w:t>de</w:t>
      </w:r>
      <w:r>
        <w:rPr>
          <w:spacing w:val="10"/>
        </w:rPr>
        <w:t> </w:t>
      </w:r>
      <w:r>
        <w:rPr/>
        <w:t>la</w:t>
      </w:r>
      <w:r>
        <w:rPr>
          <w:spacing w:val="10"/>
        </w:rPr>
        <w:t> </w:t>
      </w:r>
      <w:r>
        <w:rPr/>
        <w:t>LGS</w:t>
      </w:r>
      <w:r>
        <w:rPr>
          <w:spacing w:val="12"/>
        </w:rPr>
        <w:t> </w:t>
      </w:r>
      <w:r>
        <w:rPr/>
        <w:t>para</w:t>
      </w:r>
      <w:r>
        <w:rPr>
          <w:spacing w:val="12"/>
        </w:rPr>
        <w:t> </w:t>
      </w:r>
      <w:r>
        <w:rPr/>
        <w:t>obtener</w:t>
      </w:r>
      <w:r>
        <w:rPr>
          <w:spacing w:val="13"/>
        </w:rPr>
        <w:t> </w:t>
      </w:r>
      <w:r>
        <w:rPr/>
        <w:t>la</w:t>
      </w:r>
      <w:r>
        <w:rPr>
          <w:spacing w:val="12"/>
        </w:rPr>
        <w:t> </w:t>
      </w:r>
      <w:r>
        <w:rPr/>
        <w:t>condición</w:t>
      </w:r>
      <w:r>
        <w:rPr>
          <w:spacing w:val="10"/>
        </w:rPr>
        <w:t> </w:t>
      </w:r>
      <w:r>
        <w:rPr/>
        <w:t>de</w:t>
      </w:r>
      <w:r>
        <w:rPr>
          <w:spacing w:val="12"/>
        </w:rPr>
        <w:t> </w:t>
      </w:r>
      <w:r>
        <w:rPr/>
        <w:t>beneficiario</w:t>
      </w:r>
      <w:r>
        <w:rPr>
          <w:spacing w:val="10"/>
        </w:rPr>
        <w:t> </w:t>
      </w:r>
      <w:r>
        <w:rPr/>
        <w:t>de</w:t>
      </w:r>
      <w:r>
        <w:rPr>
          <w:spacing w:val="10"/>
        </w:rPr>
        <w:t> </w:t>
      </w:r>
      <w:r>
        <w:rPr/>
        <w:t>la</w:t>
      </w:r>
      <w:r>
        <w:rPr>
          <w:spacing w:val="12"/>
        </w:rPr>
        <w:t> </w:t>
      </w:r>
      <w:r>
        <w:rPr/>
        <w:t>subvención y está al corriente en el cumplimiento de sus obligaciones tributarias y frente a la Seguridad Social, de acuerdo con</w:t>
      </w:r>
      <w:r>
        <w:rPr>
          <w:spacing w:val="-3"/>
        </w:rPr>
        <w:t> </w:t>
      </w:r>
      <w:r>
        <w:rPr/>
        <w:t>lo establecido en los artículos</w:t>
      </w:r>
      <w:r>
        <w:rPr>
          <w:spacing w:val="-3"/>
        </w:rPr>
        <w:t> </w:t>
      </w:r>
      <w:r>
        <w:rPr/>
        <w:t>18 y 19 del Reglamento de la LGS, aprobado por</w:t>
      </w:r>
      <w:r>
        <w:rPr>
          <w:spacing w:val="-3"/>
        </w:rPr>
        <w:t> </w:t>
      </w:r>
      <w:r>
        <w:rPr/>
        <w:t>el Real Decreto 887/2006, de 21 de julio, y no es deudora por procedimiento de reintegro.</w:t>
      </w:r>
    </w:p>
    <w:p>
      <w:pPr>
        <w:pStyle w:val="BodyText"/>
        <w:spacing w:line="247" w:lineRule="auto" w:before="161"/>
        <w:ind w:left="1163" w:right="901"/>
        <w:jc w:val="both"/>
      </w:pPr>
      <w:r>
        <w:rPr>
          <w:b/>
        </w:rPr>
        <w:t>Quinto. - </w:t>
      </w:r>
      <w:r>
        <w:rPr/>
        <w:t>La presente subvención se regirá, para lo no previsto en la presente orden, por los preceptos básicos de la LGS, por la Ley 11/2006, de 11 de diciembre, de Hacienda Pública de la Comunidad Autónoma de Canarias y por el D 36/2009 citado.</w:t>
      </w:r>
    </w:p>
    <w:p>
      <w:pPr>
        <w:pStyle w:val="BodyText"/>
        <w:spacing w:before="165"/>
        <w:ind w:left="1163"/>
        <w:jc w:val="both"/>
      </w:pPr>
      <w:r>
        <w:rPr/>
        <w:t>La</w:t>
      </w:r>
      <w:r>
        <w:rPr>
          <w:spacing w:val="7"/>
        </w:rPr>
        <w:t> </w:t>
      </w:r>
      <w:r>
        <w:rPr/>
        <w:t>Consejera</w:t>
      </w:r>
      <w:r>
        <w:rPr>
          <w:spacing w:val="8"/>
        </w:rPr>
        <w:t> </w:t>
      </w:r>
      <w:r>
        <w:rPr/>
        <w:t>de</w:t>
      </w:r>
      <w:r>
        <w:rPr>
          <w:spacing w:val="8"/>
        </w:rPr>
        <w:t> </w:t>
      </w:r>
      <w:r>
        <w:rPr/>
        <w:t>Sanidad,</w:t>
      </w:r>
      <w:r>
        <w:rPr>
          <w:spacing w:val="5"/>
        </w:rPr>
        <w:t> </w:t>
      </w:r>
      <w:r>
        <w:rPr/>
        <w:t>a</w:t>
      </w:r>
      <w:r>
        <w:rPr>
          <w:spacing w:val="5"/>
        </w:rPr>
        <w:t> </w:t>
      </w:r>
      <w:r>
        <w:rPr/>
        <w:t>propuesta</w:t>
      </w:r>
      <w:r>
        <w:rPr>
          <w:spacing w:val="8"/>
        </w:rPr>
        <w:t> </w:t>
      </w:r>
      <w:r>
        <w:rPr/>
        <w:t>del</w:t>
      </w:r>
      <w:r>
        <w:rPr>
          <w:spacing w:val="9"/>
        </w:rPr>
        <w:t> </w:t>
      </w:r>
      <w:r>
        <w:rPr/>
        <w:t>Director</w:t>
      </w:r>
      <w:r>
        <w:rPr>
          <w:spacing w:val="5"/>
        </w:rPr>
        <w:t> </w:t>
      </w:r>
      <w:r>
        <w:rPr/>
        <w:t>del</w:t>
      </w:r>
      <w:r>
        <w:rPr>
          <w:spacing w:val="5"/>
        </w:rPr>
        <w:t> </w:t>
      </w:r>
      <w:r>
        <w:rPr/>
        <w:t>Servicio</w:t>
      </w:r>
      <w:r>
        <w:rPr>
          <w:spacing w:val="5"/>
        </w:rPr>
        <w:t> </w:t>
      </w:r>
      <w:r>
        <w:rPr/>
        <w:t>Canario</w:t>
      </w:r>
      <w:r>
        <w:rPr>
          <w:spacing w:val="5"/>
        </w:rPr>
        <w:t> </w:t>
      </w:r>
      <w:r>
        <w:rPr/>
        <w:t>de</w:t>
      </w:r>
      <w:r>
        <w:rPr>
          <w:spacing w:val="6"/>
        </w:rPr>
        <w:t> </w:t>
      </w:r>
      <w:r>
        <w:rPr/>
        <w:t>la</w:t>
      </w:r>
      <w:r>
        <w:rPr>
          <w:spacing w:val="7"/>
        </w:rPr>
        <w:t> </w:t>
      </w:r>
      <w:r>
        <w:rPr>
          <w:spacing w:val="-2"/>
        </w:rPr>
        <w:t>Salud,</w:t>
      </w:r>
    </w:p>
    <w:p>
      <w:pPr>
        <w:pStyle w:val="BodyText"/>
      </w:pPr>
    </w:p>
    <w:p>
      <w:pPr>
        <w:pStyle w:val="BodyText"/>
        <w:spacing w:before="116"/>
      </w:pPr>
    </w:p>
    <w:p>
      <w:pPr>
        <w:pStyle w:val="Heading1"/>
        <w:ind w:right="3"/>
      </w:pPr>
      <w:r>
        <w:rPr>
          <w:spacing w:val="-2"/>
        </w:rPr>
        <w:t>RESUELVE</w:t>
      </w:r>
    </w:p>
    <w:p>
      <w:pPr>
        <w:pStyle w:val="BodyText"/>
        <w:spacing w:before="108"/>
        <w:rPr>
          <w:b/>
        </w:rPr>
      </w:pPr>
    </w:p>
    <w:p>
      <w:pPr>
        <w:pStyle w:val="BodyText"/>
        <w:spacing w:line="247" w:lineRule="auto"/>
        <w:ind w:left="1163" w:right="894"/>
        <w:jc w:val="both"/>
      </w:pPr>
      <w:r>
        <w:rPr>
          <w:b/>
        </w:rPr>
        <w:t>Primero. -</w:t>
      </w:r>
      <w:r>
        <w:rPr>
          <w:b/>
          <w:spacing w:val="23"/>
        </w:rPr>
        <w:t> </w:t>
      </w:r>
      <w:r>
        <w:rPr/>
        <w:t>Conceder</w:t>
      </w:r>
      <w:r>
        <w:rPr>
          <w:spacing w:val="23"/>
        </w:rPr>
        <w:t> </w:t>
      </w:r>
      <w:r>
        <w:rPr/>
        <w:t>al</w:t>
      </w:r>
      <w:r>
        <w:rPr>
          <w:spacing w:val="23"/>
        </w:rPr>
        <w:t> </w:t>
      </w:r>
      <w:r>
        <w:rPr/>
        <w:t>Colegio</w:t>
      </w:r>
      <w:r>
        <w:rPr>
          <w:spacing w:val="21"/>
        </w:rPr>
        <w:t> </w:t>
      </w:r>
      <w:r>
        <w:rPr/>
        <w:t>Oficial de Médicos</w:t>
      </w:r>
      <w:r>
        <w:rPr>
          <w:spacing w:val="23"/>
        </w:rPr>
        <w:t> </w:t>
      </w:r>
      <w:r>
        <w:rPr/>
        <w:t>de</w:t>
      </w:r>
      <w:r>
        <w:rPr>
          <w:spacing w:val="26"/>
        </w:rPr>
        <w:t> </w:t>
      </w:r>
      <w:r>
        <w:rPr/>
        <w:t>Santa</w:t>
      </w:r>
      <w:r>
        <w:rPr>
          <w:spacing w:val="21"/>
        </w:rPr>
        <w:t> </w:t>
      </w:r>
      <w:r>
        <w:rPr/>
        <w:t>Cruz</w:t>
      </w:r>
      <w:r>
        <w:rPr>
          <w:spacing w:val="21"/>
        </w:rPr>
        <w:t> </w:t>
      </w:r>
      <w:r>
        <w:rPr/>
        <w:t>de Tenerife, con</w:t>
      </w:r>
      <w:r>
        <w:rPr>
          <w:spacing w:val="21"/>
        </w:rPr>
        <w:t> </w:t>
      </w:r>
      <w:r>
        <w:rPr/>
        <w:t>CIF</w:t>
      </w:r>
      <w:r>
        <w:rPr>
          <w:spacing w:val="21"/>
        </w:rPr>
        <w:t> </w:t>
      </w:r>
      <w:r>
        <w:rPr/>
        <w:t>n.º</w:t>
      </w:r>
      <w:r>
        <w:rPr>
          <w:spacing w:val="23"/>
        </w:rPr>
        <w:t> </w:t>
      </w:r>
      <w:r>
        <w:rPr/>
        <w:t>Q3866001E una subvención por</w:t>
      </w:r>
      <w:r>
        <w:rPr>
          <w:spacing w:val="-1"/>
        </w:rPr>
        <w:t> </w:t>
      </w:r>
      <w:r>
        <w:rPr/>
        <w:t>importe</w:t>
      </w:r>
      <w:r>
        <w:rPr>
          <w:spacing w:val="-1"/>
        </w:rPr>
        <w:t> </w:t>
      </w:r>
      <w:r>
        <w:rPr/>
        <w:t>de</w:t>
      </w:r>
      <w:r>
        <w:rPr>
          <w:spacing w:val="-1"/>
        </w:rPr>
        <w:t> </w:t>
      </w:r>
      <w:r>
        <w:rPr/>
        <w:t>148.449</w:t>
      </w:r>
      <w:r>
        <w:rPr>
          <w:spacing w:val="-1"/>
        </w:rPr>
        <w:t> </w:t>
      </w:r>
      <w:r>
        <w:rPr/>
        <w:t>euros,</w:t>
      </w:r>
      <w:r>
        <w:rPr>
          <w:spacing w:val="-1"/>
        </w:rPr>
        <w:t> </w:t>
      </w:r>
      <w:r>
        <w:rPr/>
        <w:t>con cargo a</w:t>
      </w:r>
      <w:r>
        <w:rPr>
          <w:spacing w:val="-1"/>
        </w:rPr>
        <w:t> </w:t>
      </w:r>
      <w:r>
        <w:rPr/>
        <w:t>la</w:t>
      </w:r>
      <w:r>
        <w:rPr>
          <w:spacing w:val="-1"/>
        </w:rPr>
        <w:t> </w:t>
      </w:r>
      <w:r>
        <w:rPr/>
        <w:t>aplicación</w:t>
      </w:r>
      <w:r>
        <w:rPr>
          <w:spacing w:val="-1"/>
        </w:rPr>
        <w:t> </w:t>
      </w:r>
      <w:r>
        <w:rPr/>
        <w:t>presupuestaria 3918 311ª 14458002 48001 del presupuesto de gastos de</w:t>
      </w:r>
      <w:r>
        <w:rPr>
          <w:spacing w:val="-2"/>
        </w:rPr>
        <w:t> </w:t>
      </w:r>
      <w:r>
        <w:rPr/>
        <w:t>la Dirección del Servicio Canario de la Salud,</w:t>
      </w:r>
      <w:r>
        <w:rPr>
          <w:spacing w:val="-2"/>
        </w:rPr>
        <w:t> </w:t>
      </w:r>
      <w:r>
        <w:rPr/>
        <w:t>para</w:t>
      </w:r>
      <w:r>
        <w:rPr>
          <w:spacing w:val="-2"/>
        </w:rPr>
        <w:t> </w:t>
      </w:r>
      <w:r>
        <w:rPr/>
        <w:t>financiar el Proyecto </w:t>
      </w:r>
      <w:r>
        <w:rPr>
          <w:i/>
        </w:rPr>
        <w:t>“Seguro Colectivo de Responsabilidad Civil Profesional” </w:t>
      </w:r>
      <w:r>
        <w:rPr/>
        <w:t>ejercicio 2025.</w:t>
      </w:r>
    </w:p>
    <w:p>
      <w:pPr>
        <w:pStyle w:val="BodyText"/>
        <w:spacing w:before="100"/>
      </w:pPr>
    </w:p>
    <w:p>
      <w:pPr>
        <w:pStyle w:val="BodyText"/>
        <w:spacing w:line="247" w:lineRule="auto"/>
        <w:ind w:left="1163" w:right="896"/>
        <w:jc w:val="both"/>
      </w:pPr>
      <w:r>
        <w:rPr>
          <w:b/>
        </w:rPr>
        <w:t>Segundo. - </w:t>
      </w:r>
      <w:r>
        <w:rPr/>
        <w:t>El abono de la subvención se hará previa justificación de haber ejecutado la actividad.</w:t>
      </w:r>
      <w:r>
        <w:rPr>
          <w:spacing w:val="80"/>
        </w:rPr>
        <w:t> </w:t>
      </w:r>
      <w:r>
        <w:rPr/>
        <w:t>Asimismo la entidad está exenta de prestar garantías para asegurar el cumplimiento de las obligaciones generadas por la concesión de estas subvenciones, según lo preceptuado en el artículo 38.8 del citado Decreto 36/2009, de 31 de marzo.</w:t>
      </w:r>
    </w:p>
    <w:p>
      <w:pPr>
        <w:pStyle w:val="BodyText"/>
        <w:spacing w:before="100"/>
      </w:pPr>
    </w:p>
    <w:p>
      <w:pPr>
        <w:pStyle w:val="BodyText"/>
        <w:spacing w:line="247" w:lineRule="auto"/>
        <w:ind w:left="1163" w:right="902"/>
        <w:jc w:val="both"/>
      </w:pPr>
      <w:r>
        <w:rPr>
          <w:b/>
        </w:rPr>
        <w:t>Tercero. - </w:t>
      </w:r>
      <w:r>
        <w:rPr/>
        <w:t>El Colegio Oficial de Médicos de Santa Cruz de Tenerife deberá cumplir las obligaciones que establece el artículo 14 de la Ley 38/2003, de 17 de noviembre General de Subvenciones, y, en particular:</w:t>
      </w:r>
    </w:p>
    <w:p>
      <w:pPr>
        <w:pStyle w:val="BodyText"/>
        <w:spacing w:before="101"/>
      </w:pPr>
    </w:p>
    <w:p>
      <w:pPr>
        <w:pStyle w:val="ListParagraph"/>
        <w:numPr>
          <w:ilvl w:val="0"/>
          <w:numId w:val="1"/>
        </w:numPr>
        <w:tabs>
          <w:tab w:pos="2097" w:val="left" w:leader="none"/>
        </w:tabs>
        <w:spacing w:line="249" w:lineRule="auto" w:before="0" w:after="0"/>
        <w:ind w:left="1163" w:right="894" w:firstLine="658"/>
        <w:jc w:val="both"/>
        <w:rPr>
          <w:b/>
          <w:sz w:val="20"/>
        </w:rPr>
      </w:pPr>
      <w:r>
        <w:rPr>
          <w:sz w:val="20"/>
        </w:rPr>
        <w:t>Cumplir el objetivo de ejecutar el proyecto “</w:t>
      </w:r>
      <w:r>
        <w:rPr>
          <w:i/>
          <w:sz w:val="20"/>
        </w:rPr>
        <w:t>Seguro Colectivo de Responsabilidad Civil Profesional” </w:t>
      </w:r>
      <w:r>
        <w:rPr>
          <w:sz w:val="20"/>
        </w:rPr>
        <w:t>ejercicio 2025</w:t>
      </w:r>
      <w:r>
        <w:rPr>
          <w:b/>
          <w:sz w:val="20"/>
        </w:rPr>
        <w:t>.</w:t>
      </w:r>
    </w:p>
    <w:p>
      <w:pPr>
        <w:pStyle w:val="ListParagraph"/>
        <w:numPr>
          <w:ilvl w:val="0"/>
          <w:numId w:val="1"/>
        </w:numPr>
        <w:tabs>
          <w:tab w:pos="2054" w:val="left" w:leader="none"/>
        </w:tabs>
        <w:spacing w:line="247" w:lineRule="auto" w:before="161" w:after="0"/>
        <w:ind w:left="1163" w:right="898" w:firstLine="658"/>
        <w:jc w:val="both"/>
        <w:rPr>
          <w:sz w:val="20"/>
        </w:rPr>
      </w:pPr>
      <w:r>
        <w:rPr>
          <w:sz w:val="20"/>
        </w:rPr>
        <w:t>Justificar ante la Dirección del Servicio Canario de la Salud el cumplimiento de los requisitos y condiciones, así como la realización de la actividad y el cumplimiento de la finalidad del Proyecto </w:t>
      </w:r>
      <w:r>
        <w:rPr>
          <w:spacing w:val="-2"/>
          <w:sz w:val="20"/>
        </w:rPr>
        <w:t>subvencionado.</w:t>
      </w:r>
    </w:p>
    <w:p>
      <w:pPr>
        <w:pStyle w:val="ListParagraph"/>
        <w:numPr>
          <w:ilvl w:val="0"/>
          <w:numId w:val="1"/>
        </w:numPr>
        <w:tabs>
          <w:tab w:pos="2123" w:val="left" w:leader="none"/>
        </w:tabs>
        <w:spacing w:line="244" w:lineRule="auto" w:before="165" w:after="0"/>
        <w:ind w:left="1163" w:right="899" w:firstLine="658"/>
        <w:jc w:val="both"/>
        <w:rPr>
          <w:sz w:val="20"/>
        </w:rPr>
      </w:pPr>
      <w:r>
        <w:rPr>
          <w:sz w:val="20"/>
        </w:rPr>
        <w:t>Someterse a las actuaciones de comprobación a efectuar por el órgano concedente y órgano gestor de la subvención, así como al control financiero de los mismos por parte de la Intervención General</w:t>
      </w:r>
    </w:p>
    <w:p>
      <w:pPr>
        <w:pStyle w:val="ListParagraph"/>
        <w:spacing w:after="0" w:line="244" w:lineRule="auto"/>
        <w:jc w:val="both"/>
        <w:rPr>
          <w:sz w:val="20"/>
        </w:rPr>
        <w:sectPr>
          <w:pgSz w:w="11900" w:h="16840"/>
          <w:pgMar w:header="923" w:footer="926" w:top="1900" w:bottom="1120" w:left="566" w:right="566"/>
        </w:sectPr>
      </w:pPr>
    </w:p>
    <w:p>
      <w:pPr>
        <w:pStyle w:val="BodyText"/>
        <w:spacing w:before="30"/>
      </w:pPr>
    </w:p>
    <w:p>
      <w:pPr>
        <w:pStyle w:val="BodyText"/>
        <w:spacing w:line="247" w:lineRule="auto" w:before="1"/>
        <w:ind w:left="1163" w:right="903"/>
        <w:jc w:val="both"/>
      </w:pPr>
      <w:r>
        <w:rPr/>
        <w:t>del Gobierno de Canarias,</w:t>
      </w:r>
      <w:r>
        <w:rPr>
          <w:spacing w:val="-1"/>
        </w:rPr>
        <w:t> </w:t>
      </w:r>
      <w:r>
        <w:rPr/>
        <w:t>Audiencia de Cuentas de Canarias y demás entidades con facultades de control aportando cuanta información le sea requerida en el ejercicio de las actuaciones anteriores conforme al artículo 46 de la Ley General de Subvenciones.</w:t>
      </w:r>
    </w:p>
    <w:p>
      <w:pPr>
        <w:pStyle w:val="ListParagraph"/>
        <w:numPr>
          <w:ilvl w:val="0"/>
          <w:numId w:val="1"/>
        </w:numPr>
        <w:tabs>
          <w:tab w:pos="2105" w:val="left" w:leader="none"/>
        </w:tabs>
        <w:spacing w:line="247" w:lineRule="auto" w:before="162" w:after="0"/>
        <w:ind w:left="1163" w:right="901" w:firstLine="658"/>
        <w:jc w:val="both"/>
        <w:rPr>
          <w:sz w:val="20"/>
        </w:rPr>
      </w:pPr>
      <w:r>
        <w:rPr>
          <w:sz w:val="20"/>
        </w:rPr>
        <w:t>Someterse a las actuaciones de control que en materia de transparencia corresponden al Comisionado de Transparencia y Acceso a la Información Pública.</w:t>
      </w:r>
    </w:p>
    <w:p>
      <w:pPr>
        <w:pStyle w:val="ListParagraph"/>
        <w:numPr>
          <w:ilvl w:val="0"/>
          <w:numId w:val="1"/>
        </w:numPr>
        <w:tabs>
          <w:tab w:pos="2023" w:val="left" w:leader="none"/>
        </w:tabs>
        <w:spacing w:line="247" w:lineRule="auto" w:before="166" w:after="0"/>
        <w:ind w:left="1163" w:right="896" w:firstLine="658"/>
        <w:jc w:val="both"/>
        <w:rPr>
          <w:sz w:val="20"/>
        </w:rPr>
      </w:pPr>
      <w:r>
        <w:rPr>
          <w:sz w:val="20"/>
        </w:rPr>
        <w:t>Comunicar al órgano concedente la obtención de otras subvenciones, ayudas, ingresos o recursos que financien las actividades subvencionadas.</w:t>
      </w:r>
    </w:p>
    <w:p>
      <w:pPr>
        <w:pStyle w:val="ListParagraph"/>
        <w:numPr>
          <w:ilvl w:val="0"/>
          <w:numId w:val="1"/>
        </w:numPr>
        <w:tabs>
          <w:tab w:pos="2046" w:val="left" w:leader="none"/>
        </w:tabs>
        <w:spacing w:line="247" w:lineRule="auto" w:before="165" w:after="0"/>
        <w:ind w:left="1163" w:right="897" w:firstLine="658"/>
        <w:jc w:val="both"/>
        <w:rPr>
          <w:sz w:val="20"/>
        </w:rPr>
      </w:pPr>
      <w:r>
        <w:rPr>
          <w:sz w:val="20"/>
        </w:rPr>
        <w:t>Disponer de los libros contables, registros diligenciados y demás documentos debidamente auditados en los términos exigidos por la legislación mercantil y sectorial aplicable al beneficiario en todo caso, así como cuantos estados contables y registros específicos sean exigidos por las bases reguladoras de las subvenciones, con la finalidad de garantizar el adecuado ejercicio de las facultades de comprobación y </w:t>
      </w:r>
      <w:r>
        <w:rPr>
          <w:spacing w:val="-2"/>
          <w:sz w:val="20"/>
        </w:rPr>
        <w:t>control.</w:t>
      </w:r>
    </w:p>
    <w:p>
      <w:pPr>
        <w:pStyle w:val="ListParagraph"/>
        <w:numPr>
          <w:ilvl w:val="0"/>
          <w:numId w:val="1"/>
        </w:numPr>
        <w:tabs>
          <w:tab w:pos="2052" w:val="left" w:leader="none"/>
        </w:tabs>
        <w:spacing w:line="247" w:lineRule="auto" w:before="161" w:after="0"/>
        <w:ind w:left="1163" w:right="902" w:firstLine="658"/>
        <w:jc w:val="both"/>
        <w:rPr>
          <w:sz w:val="20"/>
        </w:rPr>
      </w:pPr>
      <w:r>
        <w:rPr>
          <w:sz w:val="20"/>
        </w:rPr>
        <w:t>Conservar los documentos justificativos de la aplicación de los fondos recibidos, incluidos los documentos electrónicos, en tanto puedan ser objeto de las actuaciones de comprobación y control.</w:t>
      </w:r>
    </w:p>
    <w:p>
      <w:pPr>
        <w:pStyle w:val="ListParagraph"/>
        <w:numPr>
          <w:ilvl w:val="0"/>
          <w:numId w:val="1"/>
        </w:numPr>
        <w:tabs>
          <w:tab w:pos="2049" w:val="left" w:leader="none"/>
        </w:tabs>
        <w:spacing w:line="247" w:lineRule="auto" w:before="165" w:after="0"/>
        <w:ind w:left="1163" w:right="897" w:firstLine="658"/>
        <w:jc w:val="both"/>
        <w:rPr>
          <w:sz w:val="20"/>
        </w:rPr>
      </w:pPr>
      <w:r>
        <w:rPr>
          <w:sz w:val="20"/>
        </w:rPr>
        <w:t>Adoptar las medidas de difusión contenidas en el apartado 4 del artículo 18 de la Ley 38/2003,</w:t>
      </w:r>
      <w:r>
        <w:rPr>
          <w:spacing w:val="80"/>
          <w:sz w:val="20"/>
        </w:rPr>
        <w:t> </w:t>
      </w:r>
      <w:r>
        <w:rPr>
          <w:sz w:val="20"/>
        </w:rPr>
        <w:t>de 17 de noviembre, General de Subvenciones, para informar a los beneficiarios y a la opinión pública</w:t>
      </w:r>
      <w:r>
        <w:rPr>
          <w:spacing w:val="80"/>
          <w:sz w:val="20"/>
        </w:rPr>
        <w:t> </w:t>
      </w:r>
      <w:r>
        <w:rPr>
          <w:sz w:val="20"/>
        </w:rPr>
        <w:t>sobre la financiación del Servicio Canario de la Salud adscrito a Consejería de Sanidad del Gobierno de Canarias mediante acciones tales como la inclusión de la Identidad Corporativa Gráfica del Gobierno de Canarias y del Servicio Canario de la Salud en el material de difusión de la actividad financiada y publicación de la concesión de la ayuda en la página web de la entidad.</w:t>
      </w:r>
    </w:p>
    <w:p>
      <w:pPr>
        <w:pStyle w:val="ListParagraph"/>
        <w:numPr>
          <w:ilvl w:val="0"/>
          <w:numId w:val="1"/>
        </w:numPr>
        <w:tabs>
          <w:tab w:pos="2049" w:val="left" w:leader="none"/>
        </w:tabs>
        <w:spacing w:line="244" w:lineRule="auto" w:before="158" w:after="0"/>
        <w:ind w:left="1163" w:right="893" w:firstLine="658"/>
        <w:jc w:val="both"/>
        <w:rPr>
          <w:sz w:val="20"/>
        </w:rPr>
      </w:pPr>
      <w:r>
        <w:rPr>
          <w:sz w:val="20"/>
        </w:rPr>
        <w:t>Dar publicidad de las subvenciones y ayudas percibidas en la página web de la entidad beneficiaria, especificando las información a las que se refieren los artículos 6 y 8 de la Ley 19/2013, de 9</w:t>
      </w:r>
      <w:r>
        <w:rPr>
          <w:spacing w:val="40"/>
          <w:sz w:val="20"/>
        </w:rPr>
        <w:t> </w:t>
      </w:r>
      <w:r>
        <w:rPr>
          <w:sz w:val="20"/>
        </w:rPr>
        <w:t>de diciembre, de transparencia, acceso a la información pública y buen gobierno, en el supuesto de que la cuantía de la subvención o ayuda percibida, sea superior a 60.000 eros, o bien igual o superior a 5.000 euros y represente al menos el 30 por 100 del total de los ingresos anuales de la entidad beneficiaria, de conformidad con lo previsto en el artículo 3 de la Ley 12/2014, de 26 de diciembre, de transparencia y de acceso a la información pública.</w:t>
      </w:r>
    </w:p>
    <w:p>
      <w:pPr>
        <w:pStyle w:val="ListParagraph"/>
        <w:numPr>
          <w:ilvl w:val="0"/>
          <w:numId w:val="1"/>
        </w:numPr>
        <w:tabs>
          <w:tab w:pos="2017" w:val="left" w:leader="none"/>
        </w:tabs>
        <w:spacing w:line="247" w:lineRule="auto" w:before="174" w:after="0"/>
        <w:ind w:left="1163" w:right="902" w:firstLine="658"/>
        <w:jc w:val="both"/>
        <w:rPr>
          <w:sz w:val="20"/>
        </w:rPr>
      </w:pPr>
      <w:r>
        <w:rPr>
          <w:sz w:val="20"/>
        </w:rPr>
        <w:t>Proceder</w:t>
      </w:r>
      <w:r>
        <w:rPr>
          <w:spacing w:val="19"/>
          <w:sz w:val="20"/>
        </w:rPr>
        <w:t> </w:t>
      </w:r>
      <w:r>
        <w:rPr>
          <w:sz w:val="20"/>
        </w:rPr>
        <w:t>al</w:t>
      </w:r>
      <w:r>
        <w:rPr>
          <w:spacing w:val="21"/>
          <w:sz w:val="20"/>
        </w:rPr>
        <w:t> </w:t>
      </w:r>
      <w:r>
        <w:rPr>
          <w:sz w:val="20"/>
        </w:rPr>
        <w:t>reintegro</w:t>
      </w:r>
      <w:r>
        <w:rPr>
          <w:spacing w:val="19"/>
          <w:sz w:val="20"/>
        </w:rPr>
        <w:t> </w:t>
      </w:r>
      <w:r>
        <w:rPr>
          <w:sz w:val="20"/>
        </w:rPr>
        <w:t>de</w:t>
      </w:r>
      <w:r>
        <w:rPr>
          <w:spacing w:val="17"/>
          <w:sz w:val="20"/>
        </w:rPr>
        <w:t> </w:t>
      </w:r>
      <w:r>
        <w:rPr>
          <w:sz w:val="20"/>
        </w:rPr>
        <w:t>los</w:t>
      </w:r>
      <w:r>
        <w:rPr>
          <w:spacing w:val="19"/>
          <w:sz w:val="20"/>
        </w:rPr>
        <w:t> </w:t>
      </w:r>
      <w:r>
        <w:rPr>
          <w:sz w:val="20"/>
        </w:rPr>
        <w:t>fondos</w:t>
      </w:r>
      <w:r>
        <w:rPr>
          <w:spacing w:val="19"/>
          <w:sz w:val="20"/>
        </w:rPr>
        <w:t> </w:t>
      </w:r>
      <w:r>
        <w:rPr>
          <w:sz w:val="20"/>
        </w:rPr>
        <w:t>percibidos</w:t>
      </w:r>
      <w:r>
        <w:rPr>
          <w:spacing w:val="19"/>
          <w:sz w:val="20"/>
        </w:rPr>
        <w:t> </w:t>
      </w:r>
      <w:r>
        <w:rPr>
          <w:sz w:val="20"/>
        </w:rPr>
        <w:t>en</w:t>
      </w:r>
      <w:r>
        <w:rPr>
          <w:spacing w:val="19"/>
          <w:sz w:val="20"/>
        </w:rPr>
        <w:t> </w:t>
      </w:r>
      <w:r>
        <w:rPr>
          <w:sz w:val="20"/>
        </w:rPr>
        <w:t>los</w:t>
      </w:r>
      <w:r>
        <w:rPr>
          <w:spacing w:val="19"/>
          <w:sz w:val="20"/>
        </w:rPr>
        <w:t> </w:t>
      </w:r>
      <w:r>
        <w:rPr>
          <w:sz w:val="20"/>
        </w:rPr>
        <w:t>supuestos</w:t>
      </w:r>
      <w:r>
        <w:rPr>
          <w:spacing w:val="19"/>
          <w:sz w:val="20"/>
        </w:rPr>
        <w:t> </w:t>
      </w:r>
      <w:r>
        <w:rPr>
          <w:sz w:val="20"/>
        </w:rPr>
        <w:t>contemplados</w:t>
      </w:r>
      <w:r>
        <w:rPr>
          <w:spacing w:val="17"/>
          <w:sz w:val="20"/>
        </w:rPr>
        <w:t> </w:t>
      </w:r>
      <w:r>
        <w:rPr>
          <w:sz w:val="20"/>
        </w:rPr>
        <w:t>en</w:t>
      </w:r>
      <w:r>
        <w:rPr>
          <w:spacing w:val="19"/>
          <w:sz w:val="20"/>
        </w:rPr>
        <w:t> </w:t>
      </w:r>
      <w:r>
        <w:rPr>
          <w:sz w:val="20"/>
        </w:rPr>
        <w:t>el</w:t>
      </w:r>
      <w:r>
        <w:rPr>
          <w:spacing w:val="21"/>
          <w:sz w:val="20"/>
        </w:rPr>
        <w:t> </w:t>
      </w:r>
      <w:r>
        <w:rPr>
          <w:sz w:val="20"/>
        </w:rPr>
        <w:t>artículo</w:t>
      </w:r>
      <w:r>
        <w:rPr>
          <w:spacing w:val="19"/>
          <w:sz w:val="20"/>
        </w:rPr>
        <w:t> </w:t>
      </w:r>
      <w:r>
        <w:rPr>
          <w:sz w:val="20"/>
        </w:rPr>
        <w:t>37 de la LGS.</w:t>
      </w:r>
    </w:p>
    <w:p>
      <w:pPr>
        <w:pStyle w:val="BodyText"/>
        <w:spacing w:line="247" w:lineRule="auto" w:before="165"/>
        <w:ind w:left="1163" w:right="901"/>
        <w:jc w:val="both"/>
      </w:pPr>
      <w:r>
        <w:rPr>
          <w:b/>
        </w:rPr>
        <w:t>Cuarto. -</w:t>
      </w:r>
      <w:r>
        <w:rPr/>
        <w:t>El periodo de realización de la actividad es desde el 1 de enero de 2025 hasta el 31 de diciembre</w:t>
      </w:r>
      <w:r>
        <w:rPr>
          <w:spacing w:val="40"/>
        </w:rPr>
        <w:t> </w:t>
      </w:r>
      <w:r>
        <w:rPr/>
        <w:t>de 2025.</w:t>
      </w:r>
    </w:p>
    <w:p>
      <w:pPr>
        <w:pStyle w:val="BodyText"/>
        <w:spacing w:line="244" w:lineRule="auto" w:before="163"/>
        <w:ind w:left="1163" w:right="893"/>
        <w:jc w:val="both"/>
      </w:pPr>
      <w:r>
        <w:rPr>
          <w:b/>
        </w:rPr>
        <w:t>Quinto.-</w:t>
      </w:r>
      <w:r>
        <w:rPr>
          <w:b/>
          <w:spacing w:val="40"/>
        </w:rPr>
        <w:t> </w:t>
      </w:r>
      <w:r>
        <w:rPr/>
        <w:t>El Colegio Oficial de Médicos de Santa Cruz de Tenerife, deberá justificar ante la Dirección del Servicio</w:t>
      </w:r>
      <w:r>
        <w:rPr>
          <w:spacing w:val="9"/>
        </w:rPr>
        <w:t> </w:t>
      </w:r>
      <w:r>
        <w:rPr/>
        <w:t>Canario</w:t>
      </w:r>
      <w:r>
        <w:rPr>
          <w:spacing w:val="9"/>
        </w:rPr>
        <w:t> </w:t>
      </w:r>
      <w:r>
        <w:rPr/>
        <w:t>de la</w:t>
      </w:r>
      <w:r>
        <w:rPr>
          <w:spacing w:val="9"/>
        </w:rPr>
        <w:t> </w:t>
      </w:r>
      <w:r>
        <w:rPr/>
        <w:t>Salud</w:t>
      </w:r>
      <w:r>
        <w:rPr>
          <w:b/>
          <w:spacing w:val="9"/>
          <w:u w:val="single"/>
        </w:rPr>
        <w:t> </w:t>
      </w:r>
      <w:r>
        <w:rPr>
          <w:b/>
          <w:u w:val="single"/>
        </w:rPr>
        <w:t>hasta</w:t>
      </w:r>
      <w:r>
        <w:rPr>
          <w:b/>
          <w:spacing w:val="9"/>
          <w:u w:val="single"/>
        </w:rPr>
        <w:t> </w:t>
      </w:r>
      <w:r>
        <w:rPr>
          <w:b/>
          <w:u w:val="single"/>
        </w:rPr>
        <w:t>el</w:t>
      </w:r>
      <w:r>
        <w:rPr>
          <w:b/>
          <w:spacing w:val="10"/>
          <w:u w:val="single"/>
        </w:rPr>
        <w:t> </w:t>
      </w:r>
      <w:r>
        <w:rPr>
          <w:b/>
          <w:u w:val="single"/>
        </w:rPr>
        <w:t>31</w:t>
      </w:r>
      <w:r>
        <w:rPr>
          <w:b/>
          <w:spacing w:val="9"/>
          <w:u w:val="single"/>
        </w:rPr>
        <w:t> </w:t>
      </w:r>
      <w:r>
        <w:rPr>
          <w:b/>
          <w:u w:val="single"/>
        </w:rPr>
        <w:t>de</w:t>
      </w:r>
      <w:r>
        <w:rPr>
          <w:b/>
          <w:spacing w:val="9"/>
          <w:u w:val="single"/>
        </w:rPr>
        <w:t> </w:t>
      </w:r>
      <w:r>
        <w:rPr>
          <w:b/>
          <w:u w:val="single"/>
        </w:rPr>
        <w:t>diciembre de</w:t>
      </w:r>
      <w:r>
        <w:rPr>
          <w:b/>
          <w:spacing w:val="9"/>
          <w:u w:val="single"/>
        </w:rPr>
        <w:t> </w:t>
      </w:r>
      <w:r>
        <w:rPr>
          <w:b/>
          <w:u w:val="single"/>
        </w:rPr>
        <w:t>2025,</w:t>
      </w:r>
      <w:r>
        <w:rPr>
          <w:b/>
          <w:spacing w:val="10"/>
          <w:u w:val="single"/>
        </w:rPr>
        <w:t> </w:t>
      </w:r>
      <w:r>
        <w:rPr>
          <w:b/>
          <w:spacing w:val="9"/>
        </w:rPr>
        <w:t> </w:t>
      </w:r>
      <w:r>
        <w:rPr/>
        <w:t>la</w:t>
      </w:r>
      <w:r>
        <w:rPr>
          <w:spacing w:val="9"/>
        </w:rPr>
        <w:t> </w:t>
      </w:r>
      <w:r>
        <w:rPr/>
        <w:t>aplicación</w:t>
      </w:r>
      <w:r>
        <w:rPr>
          <w:spacing w:val="9"/>
        </w:rPr>
        <w:t> </w:t>
      </w:r>
      <w:r>
        <w:rPr/>
        <w:t>de</w:t>
      </w:r>
      <w:r>
        <w:rPr>
          <w:spacing w:val="9"/>
        </w:rPr>
        <w:t> </w:t>
      </w:r>
      <w:r>
        <w:rPr/>
        <w:t>la</w:t>
      </w:r>
      <w:r>
        <w:rPr>
          <w:spacing w:val="9"/>
        </w:rPr>
        <w:t> </w:t>
      </w:r>
      <w:r>
        <w:rPr/>
        <w:t>subvención</w:t>
      </w:r>
      <w:r>
        <w:rPr>
          <w:spacing w:val="9"/>
        </w:rPr>
        <w:t> </w:t>
      </w:r>
      <w:r>
        <w:rPr/>
        <w:t>percibida, y la realización del proyecto que fundamentó la concesión de la subvención, la aplicación de los fondos públicos</w:t>
      </w:r>
      <w:r>
        <w:rPr>
          <w:spacing w:val="-4"/>
        </w:rPr>
        <w:t> </w:t>
      </w:r>
      <w:r>
        <w:rPr/>
        <w:t>recibidos</w:t>
      </w:r>
      <w:r>
        <w:rPr>
          <w:spacing w:val="-2"/>
        </w:rPr>
        <w:t> </w:t>
      </w:r>
      <w:r>
        <w:rPr/>
        <w:t>y</w:t>
      </w:r>
      <w:r>
        <w:rPr>
          <w:spacing w:val="-2"/>
        </w:rPr>
        <w:t> </w:t>
      </w:r>
      <w:r>
        <w:rPr/>
        <w:t>el</w:t>
      </w:r>
      <w:r>
        <w:rPr>
          <w:spacing w:val="-2"/>
        </w:rPr>
        <w:t> </w:t>
      </w:r>
      <w:r>
        <w:rPr/>
        <w:t>coste</w:t>
      </w:r>
      <w:r>
        <w:rPr>
          <w:spacing w:val="-4"/>
        </w:rPr>
        <w:t> </w:t>
      </w:r>
      <w:r>
        <w:rPr/>
        <w:t>total</w:t>
      </w:r>
      <w:r>
        <w:rPr>
          <w:spacing w:val="-2"/>
        </w:rPr>
        <w:t> </w:t>
      </w:r>
      <w:r>
        <w:rPr/>
        <w:t>de</w:t>
      </w:r>
      <w:r>
        <w:rPr>
          <w:spacing w:val="-2"/>
        </w:rPr>
        <w:t> </w:t>
      </w:r>
      <w:r>
        <w:rPr/>
        <w:t>las</w:t>
      </w:r>
      <w:r>
        <w:rPr>
          <w:spacing w:val="-2"/>
        </w:rPr>
        <w:t> </w:t>
      </w:r>
      <w:r>
        <w:rPr/>
        <w:t>actividades</w:t>
      </w:r>
      <w:r>
        <w:rPr>
          <w:spacing w:val="-4"/>
        </w:rPr>
        <w:t> </w:t>
      </w:r>
      <w:r>
        <w:rPr/>
        <w:t>subvencionadas,</w:t>
      </w:r>
      <w:r>
        <w:rPr>
          <w:spacing w:val="-2"/>
        </w:rPr>
        <w:t> </w:t>
      </w:r>
      <w:r>
        <w:rPr/>
        <w:t>conforme</w:t>
      </w:r>
      <w:r>
        <w:rPr>
          <w:spacing w:val="-2"/>
        </w:rPr>
        <w:t> </w:t>
      </w:r>
      <w:r>
        <w:rPr/>
        <w:t>a</w:t>
      </w:r>
      <w:r>
        <w:rPr>
          <w:spacing w:val="-4"/>
        </w:rPr>
        <w:t> </w:t>
      </w:r>
      <w:r>
        <w:rPr/>
        <w:t>lo</w:t>
      </w:r>
      <w:r>
        <w:rPr>
          <w:spacing w:val="-2"/>
        </w:rPr>
        <w:t> </w:t>
      </w:r>
      <w:r>
        <w:rPr/>
        <w:t>establecido</w:t>
      </w:r>
      <w:r>
        <w:rPr>
          <w:spacing w:val="-2"/>
        </w:rPr>
        <w:t> </w:t>
      </w:r>
      <w:r>
        <w:rPr/>
        <w:t>en</w:t>
      </w:r>
      <w:r>
        <w:rPr>
          <w:spacing w:val="-2"/>
        </w:rPr>
        <w:t> </w:t>
      </w:r>
      <w:r>
        <w:rPr/>
        <w:t>el</w:t>
      </w:r>
      <w:r>
        <w:rPr>
          <w:spacing w:val="-1"/>
        </w:rPr>
        <w:t> </w:t>
      </w:r>
      <w:r>
        <w:rPr/>
        <w:t>artículo 25 del Decreto 36/2009 de 31 de marzo por el que se establece el régimen general de subvenciones de la Comunidad</w:t>
      </w:r>
      <w:r>
        <w:rPr>
          <w:spacing w:val="-1"/>
        </w:rPr>
        <w:t> </w:t>
      </w:r>
      <w:r>
        <w:rPr/>
        <w:t>Autónoma de Canarias, en la redacción dada por</w:t>
      </w:r>
      <w:r>
        <w:rPr>
          <w:spacing w:val="13"/>
        </w:rPr>
        <w:t> </w:t>
      </w:r>
      <w:r>
        <w:rPr/>
        <w:t>el</w:t>
      </w:r>
      <w:r>
        <w:rPr>
          <w:spacing w:val="13"/>
        </w:rPr>
        <w:t> </w:t>
      </w:r>
      <w:r>
        <w:rPr/>
        <w:t>Decreto 5/2015 de 30 de enero, por</w:t>
      </w:r>
      <w:r>
        <w:rPr>
          <w:spacing w:val="13"/>
        </w:rPr>
        <w:t> </w:t>
      </w:r>
      <w:r>
        <w:rPr/>
        <w:t>el</w:t>
      </w:r>
      <w:r>
        <w:rPr>
          <w:spacing w:val="13"/>
        </w:rPr>
        <w:t> </w:t>
      </w:r>
      <w:r>
        <w:rPr/>
        <w:t>que</w:t>
      </w:r>
      <w:r>
        <w:rPr>
          <w:spacing w:val="40"/>
        </w:rPr>
        <w:t> </w:t>
      </w:r>
      <w:r>
        <w:rPr/>
        <w:t>se modifica el anterior, en el que se establece la modalidad de cuenta justificativa con aportación de justificativa de gastos, debiendo aportar:</w:t>
      </w:r>
    </w:p>
    <w:p>
      <w:pPr>
        <w:pStyle w:val="BodyText"/>
        <w:spacing w:before="14"/>
      </w:pPr>
    </w:p>
    <w:p>
      <w:pPr>
        <w:pStyle w:val="ListParagraph"/>
        <w:numPr>
          <w:ilvl w:val="0"/>
          <w:numId w:val="2"/>
        </w:numPr>
        <w:tabs>
          <w:tab w:pos="1833" w:val="left" w:leader="none"/>
        </w:tabs>
        <w:spacing w:line="249" w:lineRule="auto" w:before="0" w:after="0"/>
        <w:ind w:left="1833" w:right="900" w:hanging="335"/>
        <w:jc w:val="left"/>
        <w:rPr>
          <w:sz w:val="20"/>
        </w:rPr>
      </w:pPr>
      <w:r>
        <w:rPr>
          <w:sz w:val="20"/>
        </w:rPr>
        <w:t>Una memoria de actuación justificativa del cumplimiento de las condiciones impuestas en la con- cesión de la subvención, con indicación de las actividades realizadas y de los resultados obtenidos.</w:t>
      </w:r>
    </w:p>
    <w:p>
      <w:pPr>
        <w:pStyle w:val="ListParagraph"/>
        <w:numPr>
          <w:ilvl w:val="0"/>
          <w:numId w:val="2"/>
        </w:numPr>
        <w:tabs>
          <w:tab w:pos="1832" w:val="left" w:leader="none"/>
        </w:tabs>
        <w:spacing w:line="240" w:lineRule="auto" w:before="100" w:after="0"/>
        <w:ind w:left="1832" w:right="0" w:hanging="334"/>
        <w:jc w:val="left"/>
        <w:rPr>
          <w:sz w:val="20"/>
        </w:rPr>
      </w:pPr>
      <w:r>
        <w:rPr>
          <w:sz w:val="20"/>
        </w:rPr>
        <w:t>Una</w:t>
      </w:r>
      <w:r>
        <w:rPr>
          <w:spacing w:val="8"/>
          <w:sz w:val="20"/>
        </w:rPr>
        <w:t> </w:t>
      </w:r>
      <w:r>
        <w:rPr>
          <w:sz w:val="20"/>
        </w:rPr>
        <w:t>memoria</w:t>
      </w:r>
      <w:r>
        <w:rPr>
          <w:spacing w:val="8"/>
          <w:sz w:val="20"/>
        </w:rPr>
        <w:t> </w:t>
      </w:r>
      <w:r>
        <w:rPr>
          <w:sz w:val="20"/>
        </w:rPr>
        <w:t>económica</w:t>
      </w:r>
      <w:r>
        <w:rPr>
          <w:spacing w:val="8"/>
          <w:sz w:val="20"/>
        </w:rPr>
        <w:t> </w:t>
      </w:r>
      <w:r>
        <w:rPr>
          <w:sz w:val="20"/>
        </w:rPr>
        <w:t>justificativa</w:t>
      </w:r>
      <w:r>
        <w:rPr>
          <w:spacing w:val="8"/>
          <w:sz w:val="20"/>
        </w:rPr>
        <w:t> </w:t>
      </w:r>
      <w:r>
        <w:rPr>
          <w:sz w:val="20"/>
        </w:rPr>
        <w:t>del</w:t>
      </w:r>
      <w:r>
        <w:rPr>
          <w:spacing w:val="9"/>
          <w:sz w:val="20"/>
        </w:rPr>
        <w:t> </w:t>
      </w:r>
      <w:r>
        <w:rPr>
          <w:sz w:val="20"/>
        </w:rPr>
        <w:t>coste</w:t>
      </w:r>
      <w:r>
        <w:rPr>
          <w:spacing w:val="5"/>
          <w:sz w:val="20"/>
        </w:rPr>
        <w:t> </w:t>
      </w:r>
      <w:r>
        <w:rPr>
          <w:sz w:val="20"/>
        </w:rPr>
        <w:t>de</w:t>
      </w:r>
      <w:r>
        <w:rPr>
          <w:spacing w:val="6"/>
          <w:sz w:val="20"/>
        </w:rPr>
        <w:t> </w:t>
      </w:r>
      <w:r>
        <w:rPr>
          <w:sz w:val="20"/>
        </w:rPr>
        <w:t>las</w:t>
      </w:r>
      <w:r>
        <w:rPr>
          <w:spacing w:val="6"/>
          <w:sz w:val="20"/>
        </w:rPr>
        <w:t> </w:t>
      </w:r>
      <w:r>
        <w:rPr>
          <w:sz w:val="20"/>
        </w:rPr>
        <w:t>actividades</w:t>
      </w:r>
      <w:r>
        <w:rPr>
          <w:spacing w:val="6"/>
          <w:sz w:val="20"/>
        </w:rPr>
        <w:t> </w:t>
      </w:r>
      <w:r>
        <w:rPr>
          <w:sz w:val="20"/>
        </w:rPr>
        <w:t>realizadas,</w:t>
      </w:r>
      <w:r>
        <w:rPr>
          <w:spacing w:val="8"/>
          <w:sz w:val="20"/>
        </w:rPr>
        <w:t> </w:t>
      </w:r>
      <w:r>
        <w:rPr>
          <w:sz w:val="20"/>
        </w:rPr>
        <w:t>que</w:t>
      </w:r>
      <w:r>
        <w:rPr>
          <w:spacing w:val="8"/>
          <w:sz w:val="20"/>
        </w:rPr>
        <w:t> </w:t>
      </w:r>
      <w:r>
        <w:rPr>
          <w:spacing w:val="-2"/>
          <w:sz w:val="20"/>
        </w:rPr>
        <w:t>contendrá:</w:t>
      </w:r>
    </w:p>
    <w:p>
      <w:pPr>
        <w:pStyle w:val="ListParagraph"/>
        <w:spacing w:after="0" w:line="240" w:lineRule="auto"/>
        <w:jc w:val="left"/>
        <w:rPr>
          <w:sz w:val="20"/>
        </w:rPr>
        <w:sectPr>
          <w:pgSz w:w="11900" w:h="16840"/>
          <w:pgMar w:header="923" w:footer="926" w:top="1900" w:bottom="1120" w:left="566" w:right="566"/>
        </w:sectPr>
      </w:pPr>
    </w:p>
    <w:p>
      <w:pPr>
        <w:pStyle w:val="BodyText"/>
        <w:spacing w:before="30"/>
      </w:pPr>
    </w:p>
    <w:p>
      <w:pPr>
        <w:pStyle w:val="BodyText"/>
        <w:spacing w:line="244" w:lineRule="auto" w:before="1"/>
        <w:ind w:left="1163" w:right="898" w:firstLine="819"/>
        <w:jc w:val="both"/>
      </w:pPr>
      <w:r>
        <w:rPr/>
        <w:t>)</w:t>
      </w:r>
      <w:r>
        <w:rPr>
          <w:spacing w:val="-9"/>
        </w:rPr>
        <w:t> </w:t>
      </w:r>
      <w:r>
        <w:rPr/>
        <w:t>Una relación clasificada de los gastos e inversiones de la actividad, y por cada uno de ellos, los datos siguientes de las facturas o documentos de valor probatorio: acreedor, número de factura, breve descripción del objeto, importe, fecha de emisión, fecha y medio de pago, identificación de la anotación contable e impuesto soportado. En caso de que la subvención se otorgue con arreglo a un presupuesto, se indicarán las desviaciones acaecidas.</w:t>
      </w:r>
    </w:p>
    <w:p>
      <w:pPr>
        <w:pStyle w:val="BodyText"/>
        <w:spacing w:line="247" w:lineRule="auto" w:before="109"/>
        <w:ind w:left="1163" w:right="899" w:firstLine="819"/>
        <w:jc w:val="both"/>
      </w:pPr>
      <w:r>
        <w:rPr/>
        <w:t>)</w:t>
      </w:r>
      <w:r>
        <w:rPr>
          <w:spacing w:val="-7"/>
        </w:rPr>
        <w:t> </w:t>
      </w:r>
      <w:r>
        <w:rPr/>
        <w:t>Las facturas o documentos de valor probatorio equivalente en el tráfico jurídico mercantil o con eficacia administrativa incorporados en la</w:t>
      </w:r>
      <w:r>
        <w:rPr>
          <w:spacing w:val="-1"/>
        </w:rPr>
        <w:t> </w:t>
      </w:r>
      <w:r>
        <w:rPr/>
        <w:t>relación a</w:t>
      </w:r>
      <w:r>
        <w:rPr>
          <w:spacing w:val="-1"/>
        </w:rPr>
        <w:t> </w:t>
      </w:r>
      <w:r>
        <w:rPr/>
        <w:t>que se hace referencia en la letra anterior y, en su caso, la documentación acreditativa del pago, que incluirá, como regla general, los justificantes bancarios de la salida de fondos. De no ser posible, de una manera justificada, la presentación del justificante bancario de salida de fondos, podrá presentarse el recibí de la empresa proveedora firmado, sellado y con fecha.</w:t>
      </w:r>
    </w:p>
    <w:p>
      <w:pPr>
        <w:pStyle w:val="BodyText"/>
        <w:spacing w:line="247" w:lineRule="auto" w:before="98"/>
        <w:ind w:left="1163" w:right="897" w:firstLine="819"/>
        <w:jc w:val="both"/>
      </w:pPr>
      <w:r>
        <w:rPr/>
        <w:t>)</w:t>
      </w:r>
      <w:r>
        <w:rPr>
          <w:spacing w:val="-8"/>
        </w:rPr>
        <w:t> </w:t>
      </w:r>
      <w:r>
        <w:rPr/>
        <w:t>Declaración responsable en la que conste expresamente que los perceptores de la subvención serán exclusivamente colegiados vinculados al Servicio Canario de la Salud, acompañada de relación nominal, con detalle de nombre, DNI, localidad y provincia donde desarrollan su actividad, todo ello de conformidad con lo establecido en la Normativa sobre Protección de Datos.</w:t>
      </w:r>
    </w:p>
    <w:p>
      <w:pPr>
        <w:pStyle w:val="BodyText"/>
        <w:spacing w:line="247" w:lineRule="auto" w:before="100"/>
        <w:ind w:left="1163" w:right="898" w:firstLine="658"/>
        <w:jc w:val="both"/>
      </w:pPr>
      <w:r>
        <w:rPr/>
        <w:t>En el caso de que no conste en ese Colegio Oficial, de los suscriptores de la póliza, quienes son los vinculados al Servicio Canario de la Salud, deberán solicitar dicha información a la Unidad de Apoyo y Contratación, con una antelación mínima de dos meses anterior a la finalización del plazo de entrega de la solicitud de justificación.</w:t>
      </w:r>
    </w:p>
    <w:p>
      <w:pPr>
        <w:pStyle w:val="BodyText"/>
        <w:spacing w:line="247" w:lineRule="auto" w:before="98"/>
        <w:ind w:left="1163" w:right="896" w:firstLine="819"/>
        <w:jc w:val="both"/>
      </w:pPr>
      <w:r>
        <w:rPr/>
        <w:t>)</w:t>
      </w:r>
      <w:r>
        <w:rPr>
          <w:spacing w:val="-11"/>
        </w:rPr>
        <w:t> </w:t>
      </w:r>
      <w:r>
        <w:rPr/>
        <w:t>Indicación, en su caso, de los criterios de reparto de los costes generales y/o indirectos incorporados en la relación a que se hace referencia en el apartado a, excepto en aquellos casos en que las bases reguladoras de la subvención hayan previsto su compensación mediante un tanto alzado sin necesidad de justificación.</w:t>
      </w:r>
    </w:p>
    <w:p>
      <w:pPr>
        <w:pStyle w:val="BodyText"/>
        <w:spacing w:line="249" w:lineRule="auto" w:before="100"/>
        <w:ind w:left="1163" w:right="902" w:firstLine="819"/>
        <w:jc w:val="both"/>
      </w:pPr>
      <w:r>
        <w:rPr/>
        <w:t>)</w:t>
      </w:r>
      <w:r>
        <w:rPr>
          <w:spacing w:val="-10"/>
        </w:rPr>
        <w:t> </w:t>
      </w:r>
      <w:r>
        <w:rPr/>
        <w:t>Una relación detallada de otros ingresos o subvenciones que hayan financiado la actividad subvencionada con indicación del importe y su procedencia.</w:t>
      </w:r>
    </w:p>
    <w:p>
      <w:pPr>
        <w:pStyle w:val="BodyText"/>
        <w:spacing w:line="242" w:lineRule="auto" w:before="98"/>
        <w:ind w:left="1163" w:right="897" w:firstLine="833"/>
        <w:jc w:val="both"/>
      </w:pPr>
      <w:r>
        <w:rPr>
          <w:sz w:val="22"/>
        </w:rPr>
        <w:t>)</w:t>
      </w:r>
      <w:r>
        <w:rPr/>
        <w:t>En su caso, los tres presupuestos que, en aplicación del artículo 31.3 de la Ley General de Subvenciones, deba de haber solicitado el beneficiario.</w:t>
      </w:r>
    </w:p>
    <w:p>
      <w:pPr>
        <w:pStyle w:val="BodyText"/>
        <w:spacing w:line="244" w:lineRule="auto" w:before="107"/>
        <w:ind w:left="1163" w:right="901" w:firstLine="819"/>
        <w:jc w:val="both"/>
      </w:pPr>
      <w:r>
        <w:rPr/>
        <w:t>)</w:t>
      </w:r>
      <w:r>
        <w:rPr>
          <w:spacing w:val="-10"/>
        </w:rPr>
        <w:t> </w:t>
      </w:r>
      <w:r>
        <w:rPr/>
        <w:t>En</w:t>
      </w:r>
      <w:r>
        <w:rPr>
          <w:spacing w:val="14"/>
        </w:rPr>
        <w:t> </w:t>
      </w:r>
      <w:r>
        <w:rPr/>
        <w:t>su</w:t>
      </w:r>
      <w:r>
        <w:rPr>
          <w:spacing w:val="15"/>
        </w:rPr>
        <w:t> </w:t>
      </w:r>
      <w:r>
        <w:rPr/>
        <w:t>caso,</w:t>
      </w:r>
      <w:r>
        <w:rPr>
          <w:spacing w:val="14"/>
        </w:rPr>
        <w:t> </w:t>
      </w:r>
      <w:r>
        <w:rPr/>
        <w:t>la</w:t>
      </w:r>
      <w:r>
        <w:rPr>
          <w:spacing w:val="15"/>
        </w:rPr>
        <w:t> </w:t>
      </w:r>
      <w:r>
        <w:rPr/>
        <w:t>carta</w:t>
      </w:r>
      <w:r>
        <w:rPr>
          <w:spacing w:val="15"/>
        </w:rPr>
        <w:t> </w:t>
      </w:r>
      <w:r>
        <w:rPr/>
        <w:t>de</w:t>
      </w:r>
      <w:r>
        <w:rPr>
          <w:spacing w:val="15"/>
        </w:rPr>
        <w:t> </w:t>
      </w:r>
      <w:r>
        <w:rPr/>
        <w:t>pago</w:t>
      </w:r>
      <w:r>
        <w:rPr>
          <w:spacing w:val="14"/>
        </w:rPr>
        <w:t> </w:t>
      </w:r>
      <w:r>
        <w:rPr/>
        <w:t>de</w:t>
      </w:r>
      <w:r>
        <w:rPr>
          <w:spacing w:val="15"/>
        </w:rPr>
        <w:t> </w:t>
      </w:r>
      <w:r>
        <w:rPr/>
        <w:t>reintegro en</w:t>
      </w:r>
      <w:r>
        <w:rPr>
          <w:spacing w:val="15"/>
        </w:rPr>
        <w:t> </w:t>
      </w:r>
      <w:r>
        <w:rPr/>
        <w:t>el supuesto</w:t>
      </w:r>
      <w:r>
        <w:rPr>
          <w:spacing w:val="14"/>
        </w:rPr>
        <w:t> </w:t>
      </w:r>
      <w:r>
        <w:rPr/>
        <w:t>de</w:t>
      </w:r>
      <w:r>
        <w:rPr>
          <w:spacing w:val="15"/>
        </w:rPr>
        <w:t> </w:t>
      </w:r>
      <w:r>
        <w:rPr/>
        <w:t>remanentes</w:t>
      </w:r>
      <w:r>
        <w:rPr>
          <w:spacing w:val="15"/>
        </w:rPr>
        <w:t> </w:t>
      </w:r>
      <w:r>
        <w:rPr/>
        <w:t>no</w:t>
      </w:r>
      <w:r>
        <w:rPr>
          <w:spacing w:val="14"/>
        </w:rPr>
        <w:t> </w:t>
      </w:r>
      <w:r>
        <w:rPr/>
        <w:t>aplicados,</w:t>
      </w:r>
      <w:r>
        <w:rPr>
          <w:spacing w:val="15"/>
        </w:rPr>
        <w:t> </w:t>
      </w:r>
      <w:r>
        <w:rPr/>
        <w:t>así</w:t>
      </w:r>
      <w:r>
        <w:rPr>
          <w:spacing w:val="15"/>
        </w:rPr>
        <w:t> </w:t>
      </w:r>
      <w:r>
        <w:rPr/>
        <w:t>como de los intereses derivados de los mismos.</w:t>
      </w:r>
    </w:p>
    <w:p>
      <w:pPr>
        <w:pStyle w:val="BodyText"/>
        <w:spacing w:before="7"/>
      </w:pPr>
    </w:p>
    <w:p>
      <w:pPr>
        <w:pStyle w:val="BodyText"/>
        <w:spacing w:line="247" w:lineRule="auto"/>
        <w:ind w:left="1163" w:right="902"/>
        <w:jc w:val="both"/>
      </w:pPr>
      <w:r>
        <w:rPr/>
        <w:t>La declaración de justificación de la subvención corresponde a la Dirección del Servicio Canario de la</w:t>
      </w:r>
      <w:r>
        <w:rPr>
          <w:spacing w:val="80"/>
        </w:rPr>
        <w:t> </w:t>
      </w:r>
      <w:r>
        <w:rPr/>
        <w:t>Salud</w:t>
      </w:r>
      <w:r>
        <w:rPr>
          <w:spacing w:val="15"/>
        </w:rPr>
        <w:t> </w:t>
      </w:r>
      <w:r>
        <w:rPr/>
        <w:t>como</w:t>
      </w:r>
      <w:r>
        <w:rPr>
          <w:spacing w:val="18"/>
        </w:rPr>
        <w:t> </w:t>
      </w:r>
      <w:r>
        <w:rPr/>
        <w:t>órgano</w:t>
      </w:r>
      <w:r>
        <w:rPr>
          <w:spacing w:val="16"/>
        </w:rPr>
        <w:t> </w:t>
      </w:r>
      <w:r>
        <w:rPr/>
        <w:t>gestor</w:t>
      </w:r>
      <w:r>
        <w:rPr>
          <w:spacing w:val="16"/>
        </w:rPr>
        <w:t> </w:t>
      </w:r>
      <w:r>
        <w:rPr/>
        <w:t>de</w:t>
      </w:r>
      <w:r>
        <w:rPr>
          <w:spacing w:val="18"/>
        </w:rPr>
        <w:t> </w:t>
      </w:r>
      <w:r>
        <w:rPr/>
        <w:t>la</w:t>
      </w:r>
      <w:r>
        <w:rPr>
          <w:spacing w:val="18"/>
        </w:rPr>
        <w:t> </w:t>
      </w:r>
      <w:r>
        <w:rPr/>
        <w:t>subvención</w:t>
      </w:r>
      <w:r>
        <w:rPr>
          <w:spacing w:val="15"/>
        </w:rPr>
        <w:t> </w:t>
      </w:r>
      <w:r>
        <w:rPr/>
        <w:t>y</w:t>
      </w:r>
      <w:r>
        <w:rPr>
          <w:spacing w:val="15"/>
        </w:rPr>
        <w:t> </w:t>
      </w:r>
      <w:r>
        <w:rPr/>
        <w:t>con</w:t>
      </w:r>
      <w:r>
        <w:rPr>
          <w:spacing w:val="16"/>
        </w:rPr>
        <w:t> </w:t>
      </w:r>
      <w:r>
        <w:rPr/>
        <w:t>el</w:t>
      </w:r>
      <w:r>
        <w:rPr>
          <w:spacing w:val="16"/>
        </w:rPr>
        <w:t> </w:t>
      </w:r>
      <w:r>
        <w:rPr/>
        <w:t>apoyo</w:t>
      </w:r>
      <w:r>
        <w:rPr>
          <w:spacing w:val="18"/>
        </w:rPr>
        <w:t> </w:t>
      </w:r>
      <w:r>
        <w:rPr/>
        <w:t>de</w:t>
      </w:r>
      <w:r>
        <w:rPr>
          <w:spacing w:val="16"/>
        </w:rPr>
        <w:t> </w:t>
      </w:r>
      <w:r>
        <w:rPr/>
        <w:t>la</w:t>
      </w:r>
      <w:r>
        <w:rPr>
          <w:spacing w:val="18"/>
        </w:rPr>
        <w:t> </w:t>
      </w:r>
      <w:r>
        <w:rPr/>
        <w:t>Secretaría</w:t>
      </w:r>
      <w:r>
        <w:rPr>
          <w:spacing w:val="18"/>
        </w:rPr>
        <w:t> </w:t>
      </w:r>
      <w:r>
        <w:rPr/>
        <w:t>General</w:t>
      </w:r>
      <w:r>
        <w:rPr>
          <w:spacing w:val="16"/>
        </w:rPr>
        <w:t> </w:t>
      </w:r>
      <w:r>
        <w:rPr/>
        <w:t>del</w:t>
      </w:r>
      <w:r>
        <w:rPr>
          <w:spacing w:val="18"/>
        </w:rPr>
        <w:t> </w:t>
      </w:r>
      <w:r>
        <w:rPr/>
        <w:t>Servicio</w:t>
      </w:r>
      <w:r>
        <w:rPr>
          <w:spacing w:val="18"/>
        </w:rPr>
        <w:t> </w:t>
      </w:r>
      <w:r>
        <w:rPr/>
        <w:t>Canario de la Salud</w:t>
      </w:r>
    </w:p>
    <w:p>
      <w:pPr>
        <w:pStyle w:val="BodyText"/>
        <w:spacing w:before="107"/>
      </w:pPr>
    </w:p>
    <w:p>
      <w:pPr>
        <w:pStyle w:val="BodyText"/>
        <w:spacing w:line="244" w:lineRule="auto"/>
        <w:ind w:left="1163" w:right="900"/>
        <w:jc w:val="both"/>
      </w:pPr>
      <w:r>
        <w:rPr/>
        <w:t>Transcurrido el plazo establecido de justificación sin haberse presentado la misma ante el órgano administrativo competente,</w:t>
      </w:r>
      <w:r>
        <w:rPr>
          <w:spacing w:val="2"/>
        </w:rPr>
        <w:t> </w:t>
      </w:r>
      <w:r>
        <w:rPr/>
        <w:t>éste</w:t>
      </w:r>
      <w:r>
        <w:rPr>
          <w:spacing w:val="1"/>
        </w:rPr>
        <w:t> </w:t>
      </w:r>
      <w:r>
        <w:rPr/>
        <w:t>requerirá,</w:t>
      </w:r>
      <w:r>
        <w:rPr>
          <w:spacing w:val="5"/>
        </w:rPr>
        <w:t> </w:t>
      </w:r>
      <w:r>
        <w:rPr/>
        <w:t>dentro</w:t>
      </w:r>
      <w:r>
        <w:rPr>
          <w:spacing w:val="2"/>
        </w:rPr>
        <w:t> </w:t>
      </w:r>
      <w:r>
        <w:rPr/>
        <w:t>de</w:t>
      </w:r>
      <w:r>
        <w:rPr>
          <w:spacing w:val="4"/>
        </w:rPr>
        <w:t> </w:t>
      </w:r>
      <w:r>
        <w:rPr/>
        <w:t>los</w:t>
      </w:r>
      <w:r>
        <w:rPr>
          <w:spacing w:val="2"/>
        </w:rPr>
        <w:t> </w:t>
      </w:r>
      <w:r>
        <w:rPr/>
        <w:t>cinco</w:t>
      </w:r>
      <w:r>
        <w:rPr>
          <w:spacing w:val="4"/>
        </w:rPr>
        <w:t> </w:t>
      </w:r>
      <w:r>
        <w:rPr/>
        <w:t>días</w:t>
      </w:r>
      <w:r>
        <w:rPr>
          <w:spacing w:val="4"/>
        </w:rPr>
        <w:t> </w:t>
      </w:r>
      <w:r>
        <w:rPr/>
        <w:t>siguientes,</w:t>
      </w:r>
      <w:r>
        <w:rPr>
          <w:spacing w:val="3"/>
        </w:rPr>
        <w:t> </w:t>
      </w:r>
      <w:r>
        <w:rPr/>
        <w:t>al</w:t>
      </w:r>
      <w:r>
        <w:rPr>
          <w:spacing w:val="4"/>
        </w:rPr>
        <w:t> </w:t>
      </w:r>
      <w:r>
        <w:rPr/>
        <w:t>beneficiario</w:t>
      </w:r>
      <w:r>
        <w:rPr>
          <w:spacing w:val="3"/>
        </w:rPr>
        <w:t> </w:t>
      </w:r>
      <w:r>
        <w:rPr/>
        <w:t>para</w:t>
      </w:r>
      <w:r>
        <w:rPr>
          <w:spacing w:val="4"/>
        </w:rPr>
        <w:t> </w:t>
      </w:r>
      <w:r>
        <w:rPr/>
        <w:t>que</w:t>
      </w:r>
      <w:r>
        <w:rPr>
          <w:spacing w:val="4"/>
        </w:rPr>
        <w:t> </w:t>
      </w:r>
      <w:r>
        <w:rPr/>
        <w:t>en</w:t>
      </w:r>
      <w:r>
        <w:rPr>
          <w:spacing w:val="4"/>
        </w:rPr>
        <w:t> </w:t>
      </w:r>
      <w:r>
        <w:rPr>
          <w:spacing w:val="-5"/>
        </w:rPr>
        <w:t>el</w:t>
      </w:r>
    </w:p>
    <w:p>
      <w:pPr>
        <w:pStyle w:val="BodyText"/>
      </w:pPr>
    </w:p>
    <w:p>
      <w:pPr>
        <w:pStyle w:val="BodyText"/>
        <w:spacing w:before="11"/>
      </w:pPr>
    </w:p>
    <w:p>
      <w:pPr>
        <w:pStyle w:val="BodyText"/>
        <w:spacing w:line="247" w:lineRule="auto"/>
        <w:ind w:left="1163" w:right="897"/>
        <w:jc w:val="both"/>
      </w:pPr>
      <w:r>
        <w:rPr/>
        <w:t>plazo improrrogable</w:t>
      </w:r>
      <w:r>
        <w:rPr>
          <w:spacing w:val="20"/>
        </w:rPr>
        <w:t> </w:t>
      </w:r>
      <w:r>
        <w:rPr/>
        <w:t>de</w:t>
      </w:r>
      <w:r>
        <w:rPr>
          <w:spacing w:val="20"/>
        </w:rPr>
        <w:t> </w:t>
      </w:r>
      <w:r>
        <w:rPr/>
        <w:t>quince</w:t>
      </w:r>
      <w:r>
        <w:rPr>
          <w:spacing w:val="20"/>
        </w:rPr>
        <w:t> </w:t>
      </w:r>
      <w:r>
        <w:rPr/>
        <w:t>días</w:t>
      </w:r>
      <w:r>
        <w:rPr>
          <w:spacing w:val="20"/>
        </w:rPr>
        <w:t> </w:t>
      </w:r>
      <w:r>
        <w:rPr/>
        <w:t>sea</w:t>
      </w:r>
      <w:r>
        <w:rPr>
          <w:spacing w:val="20"/>
        </w:rPr>
        <w:t> </w:t>
      </w:r>
      <w:r>
        <w:rPr/>
        <w:t>presentada</w:t>
      </w:r>
      <w:r>
        <w:rPr>
          <w:spacing w:val="20"/>
        </w:rPr>
        <w:t> </w:t>
      </w:r>
      <w:r>
        <w:rPr/>
        <w:t>a los</w:t>
      </w:r>
      <w:r>
        <w:rPr>
          <w:spacing w:val="20"/>
        </w:rPr>
        <w:t> </w:t>
      </w:r>
      <w:r>
        <w:rPr/>
        <w:t>efectos</w:t>
      </w:r>
      <w:r>
        <w:rPr>
          <w:spacing w:val="20"/>
        </w:rPr>
        <w:t> </w:t>
      </w:r>
      <w:r>
        <w:rPr/>
        <w:t>previstos en</w:t>
      </w:r>
      <w:r>
        <w:rPr>
          <w:spacing w:val="20"/>
        </w:rPr>
        <w:t> </w:t>
      </w:r>
      <w:r>
        <w:rPr/>
        <w:t>los artículos</w:t>
      </w:r>
      <w:r>
        <w:rPr>
          <w:spacing w:val="20"/>
        </w:rPr>
        <w:t> </w:t>
      </w:r>
      <w:r>
        <w:rPr/>
        <w:t>22</w:t>
      </w:r>
      <w:r>
        <w:rPr>
          <w:spacing w:val="20"/>
        </w:rPr>
        <w:t> </w:t>
      </w:r>
      <w:r>
        <w:rPr/>
        <w:t>y</w:t>
      </w:r>
      <w:r>
        <w:rPr>
          <w:spacing w:val="20"/>
        </w:rPr>
        <w:t> </w:t>
      </w:r>
      <w:r>
        <w:rPr/>
        <w:t>siguientes del Decreto 36/2009, de 31 de marzo. La falta de presentación de la justificación en el plazo establecido en este apartado llevará consigo la no exigibilidad de la subvención, la exigencia, en su caso, del reintegro y demás responsabilidades establecidas en la normativa aplicable. La presentación de la justificación en el plazo adicional establecido en este apartado no eximirá al beneficiario de las sanciones que correspondan.</w:t>
      </w:r>
    </w:p>
    <w:p>
      <w:pPr>
        <w:pStyle w:val="BodyText"/>
      </w:pPr>
    </w:p>
    <w:p>
      <w:pPr>
        <w:pStyle w:val="BodyText"/>
        <w:spacing w:line="244" w:lineRule="auto"/>
        <w:ind w:left="1163" w:right="900"/>
        <w:jc w:val="both"/>
      </w:pPr>
      <w:r>
        <w:rPr>
          <w:b/>
        </w:rPr>
        <w:t>Sexto. - </w:t>
      </w:r>
      <w:r>
        <w:rPr/>
        <w:t>Serán subvencionables aquellos gastos que de manera indubitada respondan a la naturaleza de la actividad subvencionada, estén directamente vinculados con el objeto de esta subvención correspondientes</w:t>
      </w:r>
      <w:r>
        <w:rPr>
          <w:spacing w:val="40"/>
        </w:rPr>
        <w:t> </w:t>
      </w:r>
      <w:r>
        <w:rPr/>
        <w:t>al año 2024, que se realicen antes del plazo otorgado para la ejecución de la actividad.</w:t>
      </w:r>
    </w:p>
    <w:p>
      <w:pPr>
        <w:pStyle w:val="BodyText"/>
        <w:spacing w:after="0" w:line="244" w:lineRule="auto"/>
        <w:jc w:val="both"/>
        <w:sectPr>
          <w:pgSz w:w="11900" w:h="16840"/>
          <w:pgMar w:header="923" w:footer="926" w:top="1900" w:bottom="1120" w:left="566" w:right="566"/>
        </w:sectPr>
      </w:pPr>
    </w:p>
    <w:p>
      <w:pPr>
        <w:pStyle w:val="BodyText"/>
      </w:pPr>
    </w:p>
    <w:p>
      <w:pPr>
        <w:pStyle w:val="BodyText"/>
        <w:spacing w:before="57"/>
      </w:pPr>
    </w:p>
    <w:p>
      <w:pPr>
        <w:pStyle w:val="BodyText"/>
        <w:spacing w:line="247" w:lineRule="auto" w:before="1"/>
        <w:ind w:left="1163" w:right="896"/>
        <w:jc w:val="both"/>
      </w:pPr>
      <w:r>
        <w:rPr>
          <w:b/>
        </w:rPr>
        <w:t>Séptimo. -</w:t>
      </w:r>
      <w:r>
        <w:rPr>
          <w:b/>
          <w:spacing w:val="21"/>
        </w:rPr>
        <w:t> </w:t>
      </w:r>
      <w:r>
        <w:rPr/>
        <w:t>Procederá</w:t>
      </w:r>
      <w:r>
        <w:rPr>
          <w:spacing w:val="20"/>
        </w:rPr>
        <w:t> </w:t>
      </w:r>
      <w:r>
        <w:rPr/>
        <w:t>el</w:t>
      </w:r>
      <w:r>
        <w:rPr>
          <w:spacing w:val="21"/>
        </w:rPr>
        <w:t> </w:t>
      </w:r>
      <w:r>
        <w:rPr/>
        <w:t>reintegro</w:t>
      </w:r>
      <w:r>
        <w:rPr>
          <w:spacing w:val="20"/>
        </w:rPr>
        <w:t> </w:t>
      </w:r>
      <w:r>
        <w:rPr/>
        <w:t>de</w:t>
      </w:r>
      <w:r>
        <w:rPr>
          <w:spacing w:val="20"/>
        </w:rPr>
        <w:t> </w:t>
      </w:r>
      <w:r>
        <w:rPr/>
        <w:t>las</w:t>
      </w:r>
      <w:r>
        <w:rPr>
          <w:spacing w:val="20"/>
        </w:rPr>
        <w:t> </w:t>
      </w:r>
      <w:r>
        <w:rPr/>
        <w:t>cantidades percibidas</w:t>
      </w:r>
      <w:r>
        <w:rPr>
          <w:spacing w:val="20"/>
        </w:rPr>
        <w:t> </w:t>
      </w:r>
      <w:r>
        <w:rPr/>
        <w:t>y, en</w:t>
      </w:r>
      <w:r>
        <w:rPr>
          <w:spacing w:val="20"/>
        </w:rPr>
        <w:t> </w:t>
      </w:r>
      <w:r>
        <w:rPr/>
        <w:t>su</w:t>
      </w:r>
      <w:r>
        <w:rPr>
          <w:spacing w:val="20"/>
        </w:rPr>
        <w:t> </w:t>
      </w:r>
      <w:r>
        <w:rPr/>
        <w:t>caso,</w:t>
      </w:r>
      <w:r>
        <w:rPr>
          <w:spacing w:val="20"/>
        </w:rPr>
        <w:t> </w:t>
      </w:r>
      <w:r>
        <w:rPr/>
        <w:t>de los</w:t>
      </w:r>
      <w:r>
        <w:rPr>
          <w:spacing w:val="20"/>
        </w:rPr>
        <w:t> </w:t>
      </w:r>
      <w:r>
        <w:rPr/>
        <w:t>intereses</w:t>
      </w:r>
      <w:r>
        <w:rPr>
          <w:spacing w:val="20"/>
        </w:rPr>
        <w:t> </w:t>
      </w:r>
      <w:r>
        <w:rPr/>
        <w:t>devengados por la subvención, así como la exigencia del interés correspondiente desde el momento del pago de la subvención hasta la fecha en que se acuerde la procedencia del reintegro, en los supuestos recogidos en los artículos artículo 37 y 38 de la LGS.</w:t>
      </w:r>
    </w:p>
    <w:p>
      <w:pPr>
        <w:pStyle w:val="BodyText"/>
        <w:spacing w:line="247" w:lineRule="auto" w:before="162"/>
        <w:ind w:left="1163" w:right="900"/>
        <w:jc w:val="both"/>
      </w:pPr>
      <w:r>
        <w:rPr/>
        <w:t>En el supuesto de incumplimiento parcial, la fijación de la cantidad que deba ser reintegrada se determinará en aplicación del principio de proporcionalidad, teniendo en cuenta el hecho de que el citado</w:t>
      </w:r>
      <w:r>
        <w:rPr>
          <w:spacing w:val="40"/>
        </w:rPr>
        <w:t> </w:t>
      </w:r>
      <w:r>
        <w:rPr/>
        <w:t>incumplimiento se aproxime significativamente al cumplimiento total y se acredite por la entidad beneficiaria una actuación inequívocamente tendente a la satisfacción de sus compromisos.</w:t>
      </w:r>
    </w:p>
    <w:p>
      <w:pPr>
        <w:pStyle w:val="BodyText"/>
        <w:spacing w:line="247" w:lineRule="auto" w:before="161"/>
        <w:ind w:left="1163" w:right="902"/>
        <w:jc w:val="both"/>
      </w:pPr>
      <w:r>
        <w:rPr/>
        <w:t>El procedimiento para el reintegro se regirá por lo dispuesto en los artículos 41 a 43 de la LGS, en sus disposiciones de desarrollo y en los artículos 40 a 42 del Decreto 36/2009.</w:t>
      </w:r>
    </w:p>
    <w:p>
      <w:pPr>
        <w:pStyle w:val="BodyText"/>
        <w:spacing w:before="165"/>
        <w:ind w:left="1163"/>
        <w:jc w:val="both"/>
      </w:pPr>
      <w:r>
        <w:rPr/>
        <w:t>También</w:t>
      </w:r>
      <w:r>
        <w:rPr>
          <w:spacing w:val="6"/>
        </w:rPr>
        <w:t> </w:t>
      </w:r>
      <w:r>
        <w:rPr/>
        <w:t>podrá</w:t>
      </w:r>
      <w:r>
        <w:rPr>
          <w:spacing w:val="6"/>
        </w:rPr>
        <w:t> </w:t>
      </w:r>
      <w:r>
        <w:rPr/>
        <w:t>ser</w:t>
      </w:r>
      <w:r>
        <w:rPr>
          <w:spacing w:val="5"/>
        </w:rPr>
        <w:t> </w:t>
      </w:r>
      <w:r>
        <w:rPr/>
        <w:t>causa</w:t>
      </w:r>
      <w:r>
        <w:rPr>
          <w:spacing w:val="7"/>
        </w:rPr>
        <w:t> </w:t>
      </w:r>
      <w:r>
        <w:rPr/>
        <w:t>de</w:t>
      </w:r>
      <w:r>
        <w:rPr>
          <w:spacing w:val="4"/>
        </w:rPr>
        <w:t> </w:t>
      </w:r>
      <w:r>
        <w:rPr/>
        <w:t>reintegro</w:t>
      </w:r>
      <w:r>
        <w:rPr>
          <w:spacing w:val="6"/>
        </w:rPr>
        <w:t> </w:t>
      </w:r>
      <w:r>
        <w:rPr/>
        <w:t>de</w:t>
      </w:r>
      <w:r>
        <w:rPr>
          <w:spacing w:val="6"/>
        </w:rPr>
        <w:t> </w:t>
      </w:r>
      <w:r>
        <w:rPr/>
        <w:t>las</w:t>
      </w:r>
      <w:r>
        <w:rPr>
          <w:spacing w:val="8"/>
        </w:rPr>
        <w:t> </w:t>
      </w:r>
      <w:r>
        <w:rPr/>
        <w:t>ayudas</w:t>
      </w:r>
      <w:r>
        <w:rPr>
          <w:spacing w:val="6"/>
        </w:rPr>
        <w:t> </w:t>
      </w:r>
      <w:r>
        <w:rPr/>
        <w:t>y</w:t>
      </w:r>
      <w:r>
        <w:rPr>
          <w:spacing w:val="6"/>
        </w:rPr>
        <w:t> </w:t>
      </w:r>
      <w:r>
        <w:rPr/>
        <w:t>subvenciones</w:t>
      </w:r>
      <w:r>
        <w:rPr>
          <w:spacing w:val="7"/>
        </w:rPr>
        <w:t> </w:t>
      </w:r>
      <w:r>
        <w:rPr/>
        <w:t>públicas</w:t>
      </w:r>
      <w:r>
        <w:rPr>
          <w:spacing w:val="4"/>
        </w:rPr>
        <w:t> </w:t>
      </w:r>
      <w:r>
        <w:rPr>
          <w:spacing w:val="-2"/>
        </w:rPr>
        <w:t>concedidas:</w:t>
      </w:r>
    </w:p>
    <w:p>
      <w:pPr>
        <w:pStyle w:val="BodyText"/>
        <w:spacing w:before="12"/>
      </w:pPr>
    </w:p>
    <w:p>
      <w:pPr>
        <w:pStyle w:val="BodyText"/>
        <w:spacing w:line="244" w:lineRule="auto"/>
        <w:ind w:left="1163" w:right="898"/>
        <w:jc w:val="both"/>
      </w:pPr>
      <w:r>
        <w:rPr/>
        <w:t>El incumplimiento de la obligación de publicar la información de publicidad activa a que estuvieran obligadas las entidades beneficiarias constituye una infracción administrativa que se calificará conforma a</w:t>
      </w:r>
      <w:r>
        <w:rPr>
          <w:spacing w:val="80"/>
        </w:rPr>
        <w:t> </w:t>
      </w:r>
      <w:r>
        <w:rPr/>
        <w:t>lo dispuesto en el artículo 69 de la Ley 12/2014, de 26 de diciembre, de transparencia y de acceso a la información pública, pudiendo ser sancionado dicho incumplimiento con multa, y conllevar como sanción accesoria el reintegro total o parcial de la ayuda o subvención pública concedida.</w:t>
      </w:r>
    </w:p>
    <w:p>
      <w:pPr>
        <w:pStyle w:val="BodyText"/>
        <w:spacing w:before="8"/>
      </w:pPr>
    </w:p>
    <w:p>
      <w:pPr>
        <w:pStyle w:val="BodyText"/>
        <w:spacing w:line="247" w:lineRule="auto" w:before="1"/>
        <w:ind w:left="1163" w:right="899"/>
        <w:jc w:val="both"/>
      </w:pPr>
      <w:r>
        <w:rPr/>
        <w:t>El plazo de prescripción del derecho de la</w:t>
      </w:r>
      <w:r>
        <w:rPr>
          <w:spacing w:val="-2"/>
        </w:rPr>
        <w:t> </w:t>
      </w:r>
      <w:r>
        <w:rPr/>
        <w:t>Administración a reconocer o liquidar el reintegro es de 4 años, conforme a lo dispuesto en</w:t>
      </w:r>
      <w:r>
        <w:rPr>
          <w:spacing w:val="-3"/>
        </w:rPr>
        <w:t> </w:t>
      </w:r>
      <w:r>
        <w:rPr/>
        <w:t>el artículo 153 de la Ley 11/2006, de la Hacienda Pública Canaria, que establece además la forma del cómputo del plazo de prescripción y los supuestos de interrupción.</w:t>
      </w:r>
    </w:p>
    <w:p>
      <w:pPr>
        <w:pStyle w:val="BodyText"/>
        <w:spacing w:line="247" w:lineRule="auto" w:before="100"/>
        <w:ind w:left="1163" w:right="901"/>
        <w:jc w:val="both"/>
      </w:pPr>
      <w:r>
        <w:rPr>
          <w:b/>
        </w:rPr>
        <w:t>Octavo. -</w:t>
      </w:r>
      <w:r>
        <w:rPr>
          <w:b/>
          <w:spacing w:val="17"/>
        </w:rPr>
        <w:t> </w:t>
      </w:r>
      <w:r>
        <w:rPr/>
        <w:t>Los criterios</w:t>
      </w:r>
      <w:r>
        <w:rPr>
          <w:spacing w:val="15"/>
        </w:rPr>
        <w:t> </w:t>
      </w:r>
      <w:r>
        <w:rPr/>
        <w:t>de graduación</w:t>
      </w:r>
      <w:r>
        <w:rPr>
          <w:spacing w:val="16"/>
        </w:rPr>
        <w:t> </w:t>
      </w:r>
      <w:r>
        <w:rPr/>
        <w:t>y los</w:t>
      </w:r>
      <w:r>
        <w:rPr>
          <w:spacing w:val="15"/>
        </w:rPr>
        <w:t> </w:t>
      </w:r>
      <w:r>
        <w:rPr/>
        <w:t>porcentajes</w:t>
      </w:r>
      <w:r>
        <w:rPr>
          <w:spacing w:val="17"/>
        </w:rPr>
        <w:t> </w:t>
      </w:r>
      <w:r>
        <w:rPr/>
        <w:t>a</w:t>
      </w:r>
      <w:r>
        <w:rPr>
          <w:spacing w:val="17"/>
        </w:rPr>
        <w:t> </w:t>
      </w:r>
      <w:r>
        <w:rPr/>
        <w:t>aplicar</w:t>
      </w:r>
      <w:r>
        <w:rPr>
          <w:spacing w:val="17"/>
        </w:rPr>
        <w:t> </w:t>
      </w:r>
      <w:r>
        <w:rPr/>
        <w:t>sobre las</w:t>
      </w:r>
      <w:r>
        <w:rPr>
          <w:spacing w:val="17"/>
        </w:rPr>
        <w:t> </w:t>
      </w:r>
      <w:r>
        <w:rPr/>
        <w:t>cantidades</w:t>
      </w:r>
      <w:r>
        <w:rPr>
          <w:spacing w:val="17"/>
        </w:rPr>
        <w:t> </w:t>
      </w:r>
      <w:r>
        <w:rPr/>
        <w:t>concedidas</w:t>
      </w:r>
      <w:r>
        <w:rPr>
          <w:spacing w:val="17"/>
        </w:rPr>
        <w:t> </w:t>
      </w:r>
      <w:r>
        <w:rPr/>
        <w:t>que</w:t>
      </w:r>
      <w:r>
        <w:rPr>
          <w:spacing w:val="17"/>
        </w:rPr>
        <w:t> </w:t>
      </w:r>
      <w:r>
        <w:rPr/>
        <w:t>han de reintegrarse por</w:t>
      </w:r>
      <w:r>
        <w:rPr>
          <w:spacing w:val="40"/>
        </w:rPr>
        <w:t> </w:t>
      </w:r>
      <w:r>
        <w:rPr/>
        <w:t>los posibles incumplimientos de las obligaciones impuestas en la orden de concesión, son los siguientes:</w:t>
      </w:r>
    </w:p>
    <w:p>
      <w:pPr>
        <w:pStyle w:val="ListParagraph"/>
        <w:numPr>
          <w:ilvl w:val="0"/>
          <w:numId w:val="3"/>
        </w:numPr>
        <w:tabs>
          <w:tab w:pos="1374" w:val="left" w:leader="none"/>
        </w:tabs>
        <w:spacing w:line="240" w:lineRule="auto" w:before="105" w:after="0"/>
        <w:ind w:left="1374" w:right="0" w:hanging="211"/>
        <w:jc w:val="both"/>
        <w:rPr>
          <w:sz w:val="20"/>
        </w:rPr>
      </w:pPr>
      <w:r>
        <w:rPr>
          <w:sz w:val="20"/>
        </w:rPr>
        <w:t>Incumplimiento</w:t>
      </w:r>
      <w:r>
        <w:rPr>
          <w:spacing w:val="6"/>
          <w:sz w:val="20"/>
        </w:rPr>
        <w:t> </w:t>
      </w:r>
      <w:r>
        <w:rPr>
          <w:sz w:val="20"/>
        </w:rPr>
        <w:t>del</w:t>
      </w:r>
      <w:r>
        <w:rPr>
          <w:spacing w:val="8"/>
          <w:sz w:val="20"/>
        </w:rPr>
        <w:t> </w:t>
      </w:r>
      <w:r>
        <w:rPr>
          <w:sz w:val="20"/>
        </w:rPr>
        <w:t>plazo</w:t>
      </w:r>
      <w:r>
        <w:rPr>
          <w:spacing w:val="8"/>
          <w:sz w:val="20"/>
        </w:rPr>
        <w:t> </w:t>
      </w:r>
      <w:r>
        <w:rPr>
          <w:sz w:val="20"/>
        </w:rPr>
        <w:t>de</w:t>
      </w:r>
      <w:r>
        <w:rPr>
          <w:spacing w:val="9"/>
          <w:sz w:val="20"/>
        </w:rPr>
        <w:t> </w:t>
      </w:r>
      <w:r>
        <w:rPr>
          <w:sz w:val="20"/>
        </w:rPr>
        <w:t>presentación</w:t>
      </w:r>
      <w:r>
        <w:rPr>
          <w:spacing w:val="9"/>
          <w:sz w:val="20"/>
        </w:rPr>
        <w:t> </w:t>
      </w:r>
      <w:r>
        <w:rPr>
          <w:sz w:val="20"/>
        </w:rPr>
        <w:t>de</w:t>
      </w:r>
      <w:r>
        <w:rPr>
          <w:spacing w:val="6"/>
          <w:sz w:val="20"/>
        </w:rPr>
        <w:t> </w:t>
      </w:r>
      <w:r>
        <w:rPr>
          <w:sz w:val="20"/>
        </w:rPr>
        <w:t>la</w:t>
      </w:r>
      <w:r>
        <w:rPr>
          <w:spacing w:val="7"/>
          <w:sz w:val="20"/>
        </w:rPr>
        <w:t> </w:t>
      </w:r>
      <w:r>
        <w:rPr>
          <w:sz w:val="20"/>
        </w:rPr>
        <w:t>justificación:</w:t>
      </w:r>
      <w:r>
        <w:rPr>
          <w:spacing w:val="6"/>
          <w:sz w:val="20"/>
        </w:rPr>
        <w:t> </w:t>
      </w:r>
      <w:r>
        <w:rPr>
          <w:spacing w:val="-5"/>
          <w:sz w:val="20"/>
        </w:rPr>
        <w:t>5%.</w:t>
      </w:r>
    </w:p>
    <w:p>
      <w:pPr>
        <w:pStyle w:val="ListParagraph"/>
        <w:numPr>
          <w:ilvl w:val="0"/>
          <w:numId w:val="3"/>
        </w:numPr>
        <w:tabs>
          <w:tab w:pos="1437" w:val="left" w:leader="none"/>
        </w:tabs>
        <w:spacing w:line="249" w:lineRule="auto" w:before="107" w:after="0"/>
        <w:ind w:left="1163" w:right="902" w:firstLine="0"/>
        <w:jc w:val="both"/>
        <w:rPr>
          <w:sz w:val="20"/>
        </w:rPr>
      </w:pPr>
      <w:r>
        <w:rPr>
          <w:sz w:val="20"/>
        </w:rPr>
        <w:t>Incumplimiento del tiempo previsto para el desarrollo del proyecto subvencionado, sin prórroga autorizada: 20%.</w:t>
      </w:r>
    </w:p>
    <w:p>
      <w:pPr>
        <w:pStyle w:val="BodyText"/>
        <w:spacing w:line="249" w:lineRule="auto" w:before="98"/>
        <w:ind w:left="1163" w:right="902"/>
        <w:jc w:val="both"/>
      </w:pPr>
      <w:r>
        <w:rPr>
          <w:b/>
        </w:rPr>
        <w:t>Noveno. -</w:t>
      </w:r>
      <w:r>
        <w:rPr>
          <w:b/>
          <w:spacing w:val="40"/>
        </w:rPr>
        <w:t> </w:t>
      </w:r>
      <w:r>
        <w:rPr/>
        <w:t>La presente orden de concesión podrá modificarse respetando los requisitos del artículo 20 del Decreto 36/2009, de 31 de marzo.</w:t>
      </w:r>
    </w:p>
    <w:p>
      <w:pPr>
        <w:pStyle w:val="BodyText"/>
        <w:spacing w:line="247" w:lineRule="auto" w:before="98"/>
        <w:ind w:left="1163" w:right="893"/>
        <w:jc w:val="both"/>
      </w:pPr>
      <w:r>
        <w:rPr>
          <w:b/>
        </w:rPr>
        <w:t>Décimo. </w:t>
      </w:r>
      <w:r>
        <w:rPr/>
        <w:t>La subvención objeto de la presente Orden será compatible con otras ayudas, subvenciones, ingresos o recursos procedentes de cualesquiera Administraciones o entes públicos o privados que obtenga El</w:t>
      </w:r>
      <w:r>
        <w:rPr>
          <w:spacing w:val="19"/>
        </w:rPr>
        <w:t> </w:t>
      </w:r>
      <w:r>
        <w:rPr/>
        <w:t>Colegio</w:t>
      </w:r>
      <w:r>
        <w:rPr>
          <w:spacing w:val="19"/>
        </w:rPr>
        <w:t> </w:t>
      </w:r>
      <w:r>
        <w:rPr/>
        <w:t>Oficial</w:t>
      </w:r>
      <w:r>
        <w:rPr>
          <w:spacing w:val="17"/>
        </w:rPr>
        <w:t> </w:t>
      </w:r>
      <w:r>
        <w:rPr/>
        <w:t>de</w:t>
      </w:r>
      <w:r>
        <w:rPr>
          <w:spacing w:val="17"/>
        </w:rPr>
        <w:t> </w:t>
      </w:r>
      <w:r>
        <w:rPr/>
        <w:t>Médicos</w:t>
      </w:r>
      <w:r>
        <w:rPr>
          <w:spacing w:val="17"/>
        </w:rPr>
        <w:t> </w:t>
      </w:r>
      <w:r>
        <w:rPr/>
        <w:t>de Tenerife</w:t>
      </w:r>
      <w:r>
        <w:rPr>
          <w:spacing w:val="19"/>
        </w:rPr>
        <w:t> </w:t>
      </w:r>
      <w:r>
        <w:rPr/>
        <w:t>para</w:t>
      </w:r>
      <w:r>
        <w:rPr>
          <w:spacing w:val="17"/>
        </w:rPr>
        <w:t> </w:t>
      </w:r>
      <w:r>
        <w:rPr/>
        <w:t>la</w:t>
      </w:r>
      <w:r>
        <w:rPr>
          <w:spacing w:val="17"/>
        </w:rPr>
        <w:t> </w:t>
      </w:r>
      <w:r>
        <w:rPr/>
        <w:t>misma</w:t>
      </w:r>
      <w:r>
        <w:rPr>
          <w:spacing w:val="17"/>
        </w:rPr>
        <w:t> </w:t>
      </w:r>
      <w:r>
        <w:rPr/>
        <w:t>o</w:t>
      </w:r>
      <w:r>
        <w:rPr>
          <w:spacing w:val="15"/>
        </w:rPr>
        <w:t> </w:t>
      </w:r>
      <w:r>
        <w:rPr/>
        <w:t>similar</w:t>
      </w:r>
      <w:r>
        <w:rPr>
          <w:spacing w:val="17"/>
        </w:rPr>
        <w:t> </w:t>
      </w:r>
      <w:r>
        <w:rPr/>
        <w:t>finalidad</w:t>
      </w:r>
      <w:r>
        <w:rPr>
          <w:spacing w:val="17"/>
        </w:rPr>
        <w:t> </w:t>
      </w:r>
      <w:r>
        <w:rPr/>
        <w:t>en los</w:t>
      </w:r>
      <w:r>
        <w:rPr>
          <w:spacing w:val="17"/>
        </w:rPr>
        <w:t> </w:t>
      </w:r>
      <w:r>
        <w:rPr/>
        <w:t>términos</w:t>
      </w:r>
      <w:r>
        <w:rPr>
          <w:spacing w:val="17"/>
        </w:rPr>
        <w:t> </w:t>
      </w:r>
      <w:r>
        <w:rPr/>
        <w:t>establecidos en el artículo 34 del Reglamento de la Ley 38/2003, de 17 de noviembre, General de Subvenciones. La cuantía global de las subvenciones y ayudas percibidas no podrá ser superior al coste total de la actividad </w:t>
      </w:r>
      <w:r>
        <w:rPr>
          <w:spacing w:val="-2"/>
        </w:rPr>
        <w:t>subvencionada.</w:t>
      </w:r>
    </w:p>
    <w:p>
      <w:pPr>
        <w:pStyle w:val="BodyText"/>
        <w:spacing w:line="247" w:lineRule="auto" w:before="98"/>
        <w:ind w:left="1163" w:right="895"/>
        <w:jc w:val="both"/>
      </w:pPr>
      <w:r>
        <w:rPr>
          <w:b/>
        </w:rPr>
        <w:t>Décimo</w:t>
      </w:r>
      <w:r>
        <w:rPr>
          <w:b/>
          <w:spacing w:val="20"/>
        </w:rPr>
        <w:t> </w:t>
      </w:r>
      <w:r>
        <w:rPr>
          <w:b/>
        </w:rPr>
        <w:t>Primero.</w:t>
      </w:r>
      <w:r>
        <w:rPr>
          <w:b/>
          <w:spacing w:val="21"/>
        </w:rPr>
        <w:t> </w:t>
      </w:r>
      <w:r>
        <w:rPr>
          <w:b/>
        </w:rPr>
        <w:t>-</w:t>
      </w:r>
      <w:r>
        <w:rPr>
          <w:b/>
          <w:spacing w:val="21"/>
        </w:rPr>
        <w:t> </w:t>
      </w:r>
      <w:r>
        <w:rPr/>
        <w:t>Esta subvención</w:t>
      </w:r>
      <w:r>
        <w:rPr>
          <w:spacing w:val="20"/>
        </w:rPr>
        <w:t> </w:t>
      </w:r>
      <w:r>
        <w:rPr/>
        <w:t>se</w:t>
      </w:r>
      <w:r>
        <w:rPr>
          <w:spacing w:val="20"/>
        </w:rPr>
        <w:t> </w:t>
      </w:r>
      <w:r>
        <w:rPr/>
        <w:t>regirá</w:t>
      </w:r>
      <w:r>
        <w:rPr>
          <w:spacing w:val="20"/>
        </w:rPr>
        <w:t> </w:t>
      </w:r>
      <w:r>
        <w:rPr/>
        <w:t>por</w:t>
      </w:r>
      <w:r>
        <w:rPr>
          <w:spacing w:val="20"/>
        </w:rPr>
        <w:t> </w:t>
      </w:r>
      <w:r>
        <w:rPr/>
        <w:t>lo previsto</w:t>
      </w:r>
      <w:r>
        <w:rPr>
          <w:spacing w:val="20"/>
        </w:rPr>
        <w:t> </w:t>
      </w:r>
      <w:r>
        <w:rPr/>
        <w:t>en la</w:t>
      </w:r>
      <w:r>
        <w:rPr>
          <w:spacing w:val="20"/>
        </w:rPr>
        <w:t> </w:t>
      </w:r>
      <w:r>
        <w:rPr/>
        <w:t>LGS</w:t>
      </w:r>
      <w:r>
        <w:rPr>
          <w:spacing w:val="20"/>
        </w:rPr>
        <w:t> </w:t>
      </w:r>
      <w:r>
        <w:rPr/>
        <w:t>y</w:t>
      </w:r>
      <w:r>
        <w:rPr>
          <w:spacing w:val="20"/>
        </w:rPr>
        <w:t> </w:t>
      </w:r>
      <w:r>
        <w:rPr/>
        <w:t>en el</w:t>
      </w:r>
      <w:r>
        <w:rPr>
          <w:spacing w:val="19"/>
        </w:rPr>
        <w:t> </w:t>
      </w:r>
      <w:r>
        <w:rPr/>
        <w:t>Reglamento</w:t>
      </w:r>
      <w:r>
        <w:rPr>
          <w:spacing w:val="20"/>
        </w:rPr>
        <w:t> </w:t>
      </w:r>
      <w:r>
        <w:rPr/>
        <w:t>de</w:t>
      </w:r>
      <w:r>
        <w:rPr>
          <w:spacing w:val="20"/>
        </w:rPr>
        <w:t> </w:t>
      </w:r>
      <w:r>
        <w:rPr/>
        <w:t>la citada ley, aprobado</w:t>
      </w:r>
      <w:r>
        <w:rPr>
          <w:spacing w:val="-2"/>
        </w:rPr>
        <w:t> </w:t>
      </w:r>
      <w:r>
        <w:rPr/>
        <w:t>mediante Real Decreto 887/2006, de 21 de julio, respecto a los preceptos básicos que resulten de aplicación. La Ley 11/2006, de 11 de diciembre, de Hacienda Pública Canaria y Decreto 36/2009, de 31 de marzo, por el que se establece el Régimen General de Subvenciones de la Comunidad Autónoma de Canarias, así como por lo previsto en la Ley 39/2015, de 1 de octubre, del Procedimiento Administrativo Común de las</w:t>
      </w:r>
      <w:r>
        <w:rPr>
          <w:spacing w:val="-1"/>
        </w:rPr>
        <w:t> </w:t>
      </w:r>
      <w:r>
        <w:rPr/>
        <w:t>Administraciones Públicas, y en las demás normas de derecho administrativo que resulten de </w:t>
      </w:r>
      <w:r>
        <w:rPr>
          <w:spacing w:val="-2"/>
        </w:rPr>
        <w:t>aplicación.</w:t>
      </w:r>
    </w:p>
    <w:p>
      <w:pPr>
        <w:pStyle w:val="BodyText"/>
        <w:spacing w:after="0" w:line="247" w:lineRule="auto"/>
        <w:jc w:val="both"/>
        <w:sectPr>
          <w:pgSz w:w="11900" w:h="16840"/>
          <w:pgMar w:header="923" w:footer="926" w:top="1900" w:bottom="1120" w:left="566" w:right="566"/>
        </w:sectPr>
      </w:pPr>
    </w:p>
    <w:p>
      <w:pPr>
        <w:pStyle w:val="BodyText"/>
        <w:ind w:left="1559"/>
      </w:pPr>
      <w:r>
        <w:rPr/>
        <w:drawing>
          <wp:inline distT="0" distB="0" distL="0" distR="0">
            <wp:extent cx="1127554" cy="559498"/>
            <wp:effectExtent l="0" t="0" r="0" b="0"/>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1127554" cy="559498"/>
                    </a:xfrm>
                    <a:prstGeom prst="rect">
                      <a:avLst/>
                    </a:prstGeom>
                  </pic:spPr>
                </pic:pic>
              </a:graphicData>
            </a:graphic>
          </wp:inline>
        </w:drawing>
      </w:r>
      <w:r>
        <w:rPr/>
      </w:r>
    </w:p>
    <w:p>
      <w:pPr>
        <w:pStyle w:val="BodyText"/>
        <w:spacing w:before="30"/>
        <w:rPr>
          <w:sz w:val="18"/>
        </w:rPr>
      </w:pPr>
    </w:p>
    <w:p>
      <w:pPr>
        <w:spacing w:line="247" w:lineRule="auto" w:before="0"/>
        <w:ind w:left="1560" w:right="1318" w:firstLine="0"/>
        <w:jc w:val="both"/>
        <w:rPr>
          <w:sz w:val="18"/>
        </w:rPr>
      </w:pPr>
      <w:r>
        <w:rPr>
          <w:b/>
          <w:w w:val="105"/>
          <w:sz w:val="18"/>
        </w:rPr>
        <w:t>Décimo</w:t>
      </w:r>
      <w:r>
        <w:rPr>
          <w:b/>
          <w:spacing w:val="-4"/>
          <w:w w:val="105"/>
          <w:sz w:val="18"/>
        </w:rPr>
        <w:t> </w:t>
      </w:r>
      <w:r>
        <w:rPr>
          <w:b/>
          <w:w w:val="105"/>
          <w:sz w:val="18"/>
        </w:rPr>
        <w:t>Segundo.</w:t>
      </w:r>
      <w:r>
        <w:rPr>
          <w:b/>
          <w:spacing w:val="-5"/>
          <w:w w:val="105"/>
          <w:sz w:val="18"/>
        </w:rPr>
        <w:t> </w:t>
      </w:r>
      <w:r>
        <w:rPr>
          <w:b/>
          <w:w w:val="105"/>
          <w:sz w:val="18"/>
        </w:rPr>
        <w:t>-</w:t>
      </w:r>
      <w:r>
        <w:rPr>
          <w:b/>
          <w:spacing w:val="-5"/>
          <w:w w:val="105"/>
          <w:sz w:val="18"/>
        </w:rPr>
        <w:t> </w:t>
      </w:r>
      <w:r>
        <w:rPr>
          <w:w w:val="105"/>
          <w:sz w:val="18"/>
        </w:rPr>
        <w:t>Notificar</w:t>
      </w:r>
      <w:r>
        <w:rPr>
          <w:spacing w:val="-5"/>
          <w:w w:val="105"/>
          <w:sz w:val="18"/>
        </w:rPr>
        <w:t> </w:t>
      </w:r>
      <w:r>
        <w:rPr>
          <w:w w:val="105"/>
          <w:sz w:val="18"/>
        </w:rPr>
        <w:t>la</w:t>
      </w:r>
      <w:r>
        <w:rPr>
          <w:spacing w:val="-5"/>
          <w:w w:val="105"/>
          <w:sz w:val="18"/>
        </w:rPr>
        <w:t> </w:t>
      </w:r>
      <w:r>
        <w:rPr>
          <w:w w:val="105"/>
          <w:sz w:val="18"/>
        </w:rPr>
        <w:t>presente</w:t>
      </w:r>
      <w:r>
        <w:rPr>
          <w:spacing w:val="-4"/>
          <w:w w:val="105"/>
          <w:sz w:val="18"/>
        </w:rPr>
        <w:t> </w:t>
      </w:r>
      <w:r>
        <w:rPr>
          <w:w w:val="105"/>
          <w:sz w:val="18"/>
        </w:rPr>
        <w:t>orden</w:t>
      </w:r>
      <w:r>
        <w:rPr>
          <w:spacing w:val="-5"/>
          <w:w w:val="105"/>
          <w:sz w:val="18"/>
        </w:rPr>
        <w:t> </w:t>
      </w:r>
      <w:r>
        <w:rPr>
          <w:w w:val="105"/>
          <w:sz w:val="18"/>
        </w:rPr>
        <w:t>al</w:t>
      </w:r>
      <w:r>
        <w:rPr>
          <w:spacing w:val="-5"/>
          <w:w w:val="105"/>
          <w:sz w:val="18"/>
        </w:rPr>
        <w:t> </w:t>
      </w:r>
      <w:r>
        <w:rPr>
          <w:w w:val="105"/>
          <w:sz w:val="18"/>
        </w:rPr>
        <w:t>beneficiario</w:t>
      </w:r>
      <w:r>
        <w:rPr>
          <w:spacing w:val="-4"/>
          <w:w w:val="105"/>
          <w:sz w:val="18"/>
        </w:rPr>
        <w:t> </w:t>
      </w:r>
      <w:r>
        <w:rPr>
          <w:w w:val="105"/>
          <w:sz w:val="18"/>
        </w:rPr>
        <w:t>y</w:t>
      </w:r>
      <w:r>
        <w:rPr>
          <w:spacing w:val="-5"/>
          <w:w w:val="105"/>
          <w:sz w:val="18"/>
        </w:rPr>
        <w:t> </w:t>
      </w:r>
      <w:r>
        <w:rPr>
          <w:w w:val="105"/>
          <w:sz w:val="18"/>
        </w:rPr>
        <w:t>publicarla</w:t>
      </w:r>
      <w:r>
        <w:rPr>
          <w:spacing w:val="-5"/>
          <w:w w:val="105"/>
          <w:sz w:val="18"/>
        </w:rPr>
        <w:t> </w:t>
      </w:r>
      <w:r>
        <w:rPr>
          <w:w w:val="105"/>
          <w:sz w:val="18"/>
        </w:rPr>
        <w:t>en</w:t>
      </w:r>
      <w:r>
        <w:rPr>
          <w:spacing w:val="-5"/>
          <w:w w:val="105"/>
          <w:sz w:val="18"/>
        </w:rPr>
        <w:t> </w:t>
      </w:r>
      <w:r>
        <w:rPr>
          <w:w w:val="105"/>
          <w:sz w:val="18"/>
        </w:rPr>
        <w:t>la</w:t>
      </w:r>
      <w:r>
        <w:rPr>
          <w:spacing w:val="-5"/>
          <w:w w:val="105"/>
          <w:sz w:val="18"/>
        </w:rPr>
        <w:t> </w:t>
      </w:r>
      <w:r>
        <w:rPr>
          <w:w w:val="105"/>
          <w:sz w:val="18"/>
        </w:rPr>
        <w:t>Base</w:t>
      </w:r>
      <w:r>
        <w:rPr>
          <w:spacing w:val="-5"/>
          <w:w w:val="105"/>
          <w:sz w:val="18"/>
        </w:rPr>
        <w:t> </w:t>
      </w:r>
      <w:r>
        <w:rPr>
          <w:w w:val="105"/>
          <w:sz w:val="18"/>
        </w:rPr>
        <w:t>de</w:t>
      </w:r>
      <w:r>
        <w:rPr>
          <w:spacing w:val="-4"/>
          <w:w w:val="105"/>
          <w:sz w:val="18"/>
        </w:rPr>
        <w:t> </w:t>
      </w:r>
      <w:r>
        <w:rPr>
          <w:w w:val="105"/>
          <w:sz w:val="18"/>
        </w:rPr>
        <w:t>Datos</w:t>
      </w:r>
      <w:r>
        <w:rPr>
          <w:spacing w:val="-5"/>
          <w:w w:val="105"/>
          <w:sz w:val="18"/>
        </w:rPr>
        <w:t> </w:t>
      </w:r>
      <w:r>
        <w:rPr>
          <w:w w:val="105"/>
          <w:sz w:val="18"/>
        </w:rPr>
        <w:t>Nacional de</w:t>
      </w:r>
      <w:r>
        <w:rPr>
          <w:spacing w:val="-1"/>
          <w:w w:val="105"/>
          <w:sz w:val="18"/>
        </w:rPr>
        <w:t> </w:t>
      </w:r>
      <w:r>
        <w:rPr>
          <w:w w:val="105"/>
          <w:sz w:val="18"/>
        </w:rPr>
        <w:t>Subvenciones,</w:t>
      </w:r>
      <w:r>
        <w:rPr>
          <w:spacing w:val="-1"/>
          <w:w w:val="105"/>
          <w:sz w:val="18"/>
        </w:rPr>
        <w:t> </w:t>
      </w:r>
      <w:r>
        <w:rPr>
          <w:w w:val="105"/>
          <w:sz w:val="18"/>
        </w:rPr>
        <w:t>de</w:t>
      </w:r>
      <w:r>
        <w:rPr>
          <w:spacing w:val="-1"/>
          <w:w w:val="105"/>
          <w:sz w:val="18"/>
        </w:rPr>
        <w:t> </w:t>
      </w:r>
      <w:r>
        <w:rPr>
          <w:w w:val="105"/>
          <w:sz w:val="18"/>
        </w:rPr>
        <w:t>conformidad</w:t>
      </w:r>
      <w:r>
        <w:rPr>
          <w:spacing w:val="-3"/>
          <w:w w:val="105"/>
          <w:sz w:val="18"/>
        </w:rPr>
        <w:t> </w:t>
      </w:r>
      <w:r>
        <w:rPr>
          <w:w w:val="105"/>
          <w:sz w:val="18"/>
        </w:rPr>
        <w:t>con</w:t>
      </w:r>
      <w:r>
        <w:rPr>
          <w:spacing w:val="-3"/>
          <w:w w:val="105"/>
          <w:sz w:val="18"/>
        </w:rPr>
        <w:t> </w:t>
      </w:r>
      <w:r>
        <w:rPr>
          <w:w w:val="105"/>
          <w:sz w:val="18"/>
        </w:rPr>
        <w:t>lo</w:t>
      </w:r>
      <w:r>
        <w:rPr>
          <w:spacing w:val="-3"/>
          <w:w w:val="105"/>
          <w:sz w:val="18"/>
        </w:rPr>
        <w:t> </w:t>
      </w:r>
      <w:r>
        <w:rPr>
          <w:w w:val="105"/>
          <w:sz w:val="18"/>
        </w:rPr>
        <w:t>establecido</w:t>
      </w:r>
      <w:r>
        <w:rPr>
          <w:spacing w:val="-3"/>
          <w:w w:val="105"/>
          <w:sz w:val="18"/>
        </w:rPr>
        <w:t> </w:t>
      </w:r>
      <w:r>
        <w:rPr>
          <w:w w:val="105"/>
          <w:sz w:val="18"/>
        </w:rPr>
        <w:t>en</w:t>
      </w:r>
      <w:r>
        <w:rPr>
          <w:spacing w:val="-1"/>
          <w:w w:val="105"/>
          <w:sz w:val="18"/>
        </w:rPr>
        <w:t> </w:t>
      </w:r>
      <w:r>
        <w:rPr>
          <w:w w:val="105"/>
          <w:sz w:val="18"/>
        </w:rPr>
        <w:t>el Real</w:t>
      </w:r>
      <w:r>
        <w:rPr>
          <w:spacing w:val="-2"/>
          <w:w w:val="105"/>
          <w:sz w:val="18"/>
        </w:rPr>
        <w:t> </w:t>
      </w:r>
      <w:r>
        <w:rPr>
          <w:w w:val="105"/>
          <w:sz w:val="18"/>
        </w:rPr>
        <w:t>Decreto</w:t>
      </w:r>
      <w:r>
        <w:rPr>
          <w:spacing w:val="-3"/>
          <w:w w:val="105"/>
          <w:sz w:val="18"/>
        </w:rPr>
        <w:t> </w:t>
      </w:r>
      <w:r>
        <w:rPr>
          <w:w w:val="105"/>
          <w:sz w:val="18"/>
        </w:rPr>
        <w:t>130/2019,</w:t>
      </w:r>
      <w:r>
        <w:rPr>
          <w:spacing w:val="-1"/>
          <w:w w:val="105"/>
          <w:sz w:val="18"/>
        </w:rPr>
        <w:t> </w:t>
      </w:r>
      <w:r>
        <w:rPr>
          <w:w w:val="105"/>
          <w:sz w:val="18"/>
        </w:rPr>
        <w:t>de</w:t>
      </w:r>
      <w:r>
        <w:rPr>
          <w:spacing w:val="-3"/>
          <w:w w:val="105"/>
          <w:sz w:val="18"/>
        </w:rPr>
        <w:t> </w:t>
      </w:r>
      <w:r>
        <w:rPr>
          <w:w w:val="105"/>
          <w:sz w:val="18"/>
        </w:rPr>
        <w:t>8</w:t>
      </w:r>
      <w:r>
        <w:rPr>
          <w:spacing w:val="-1"/>
          <w:w w:val="105"/>
          <w:sz w:val="18"/>
        </w:rPr>
        <w:t> </w:t>
      </w:r>
      <w:r>
        <w:rPr>
          <w:w w:val="105"/>
          <w:sz w:val="18"/>
        </w:rPr>
        <w:t>de</w:t>
      </w:r>
      <w:r>
        <w:rPr>
          <w:spacing w:val="-3"/>
          <w:w w:val="105"/>
          <w:sz w:val="18"/>
        </w:rPr>
        <w:t> </w:t>
      </w:r>
      <w:r>
        <w:rPr>
          <w:w w:val="105"/>
          <w:sz w:val="18"/>
        </w:rPr>
        <w:t>marzo,</w:t>
      </w:r>
      <w:r>
        <w:rPr>
          <w:spacing w:val="-3"/>
          <w:w w:val="105"/>
          <w:sz w:val="18"/>
        </w:rPr>
        <w:t> </w:t>
      </w:r>
      <w:r>
        <w:rPr>
          <w:w w:val="105"/>
          <w:sz w:val="18"/>
        </w:rPr>
        <w:t>por</w:t>
      </w:r>
      <w:r>
        <w:rPr>
          <w:spacing w:val="-2"/>
          <w:w w:val="105"/>
          <w:sz w:val="18"/>
        </w:rPr>
        <w:t> </w:t>
      </w:r>
      <w:r>
        <w:rPr>
          <w:w w:val="105"/>
          <w:sz w:val="18"/>
        </w:rPr>
        <w:t>el que se regula la Base de Datos Nacional de Subvenciones y la publicidad de las subvenciones y demás ayudas públicas.</w:t>
      </w:r>
    </w:p>
    <w:p>
      <w:pPr>
        <w:pStyle w:val="BodyText"/>
        <w:spacing w:before="98"/>
        <w:rPr>
          <w:sz w:val="18"/>
        </w:rPr>
      </w:pPr>
    </w:p>
    <w:p>
      <w:pPr>
        <w:spacing w:line="247" w:lineRule="auto" w:before="0"/>
        <w:ind w:left="1560" w:right="1314" w:firstLine="0"/>
        <w:jc w:val="both"/>
        <w:rPr>
          <w:sz w:val="18"/>
        </w:rPr>
      </w:pPr>
      <w:r>
        <w:rPr>
          <w:w w:val="105"/>
          <w:sz w:val="18"/>
        </w:rPr>
        <w:t>Contra la presente orden, que pone fin a la vía administrativa, podrá interponerse recurso contencioso- administrativo ante el Juzgado lo Contencioso-Administrativo del en el plazo de dos meses o, previa y potestativamente,</w:t>
      </w:r>
      <w:r>
        <w:rPr>
          <w:spacing w:val="-5"/>
          <w:w w:val="105"/>
          <w:sz w:val="18"/>
        </w:rPr>
        <w:t> </w:t>
      </w:r>
      <w:r>
        <w:rPr>
          <w:w w:val="105"/>
          <w:sz w:val="18"/>
        </w:rPr>
        <w:t>recurso</w:t>
      </w:r>
      <w:r>
        <w:rPr>
          <w:spacing w:val="-5"/>
          <w:w w:val="105"/>
          <w:sz w:val="18"/>
        </w:rPr>
        <w:t> </w:t>
      </w:r>
      <w:r>
        <w:rPr>
          <w:w w:val="105"/>
          <w:sz w:val="18"/>
        </w:rPr>
        <w:t>de</w:t>
      </w:r>
      <w:r>
        <w:rPr>
          <w:spacing w:val="-3"/>
          <w:w w:val="105"/>
          <w:sz w:val="18"/>
        </w:rPr>
        <w:t> </w:t>
      </w:r>
      <w:r>
        <w:rPr>
          <w:w w:val="105"/>
          <w:sz w:val="18"/>
        </w:rPr>
        <w:t>reposición</w:t>
      </w:r>
      <w:r>
        <w:rPr>
          <w:spacing w:val="-3"/>
          <w:w w:val="105"/>
          <w:sz w:val="18"/>
        </w:rPr>
        <w:t> </w:t>
      </w:r>
      <w:r>
        <w:rPr>
          <w:w w:val="105"/>
          <w:sz w:val="18"/>
        </w:rPr>
        <w:t>ante</w:t>
      </w:r>
      <w:r>
        <w:rPr>
          <w:spacing w:val="-5"/>
          <w:w w:val="105"/>
          <w:sz w:val="18"/>
        </w:rPr>
        <w:t> </w:t>
      </w:r>
      <w:r>
        <w:rPr>
          <w:w w:val="105"/>
          <w:sz w:val="18"/>
        </w:rPr>
        <w:t>la</w:t>
      </w:r>
      <w:r>
        <w:rPr>
          <w:spacing w:val="-5"/>
          <w:w w:val="105"/>
          <w:sz w:val="18"/>
        </w:rPr>
        <w:t> </w:t>
      </w:r>
      <w:r>
        <w:rPr>
          <w:w w:val="105"/>
          <w:sz w:val="18"/>
        </w:rPr>
        <w:t>Consejera</w:t>
      </w:r>
      <w:r>
        <w:rPr>
          <w:spacing w:val="-3"/>
          <w:w w:val="105"/>
          <w:sz w:val="18"/>
        </w:rPr>
        <w:t> </w:t>
      </w:r>
      <w:r>
        <w:rPr>
          <w:w w:val="105"/>
          <w:sz w:val="18"/>
        </w:rPr>
        <w:t>de</w:t>
      </w:r>
      <w:r>
        <w:rPr>
          <w:spacing w:val="-3"/>
          <w:w w:val="105"/>
          <w:sz w:val="18"/>
        </w:rPr>
        <w:t> </w:t>
      </w:r>
      <w:r>
        <w:rPr>
          <w:w w:val="105"/>
          <w:sz w:val="18"/>
        </w:rPr>
        <w:t>Santidad</w:t>
      </w:r>
      <w:r>
        <w:rPr>
          <w:spacing w:val="-5"/>
          <w:w w:val="105"/>
          <w:sz w:val="18"/>
        </w:rPr>
        <w:t> </w:t>
      </w:r>
      <w:r>
        <w:rPr>
          <w:w w:val="105"/>
          <w:sz w:val="18"/>
        </w:rPr>
        <w:t>en</w:t>
      </w:r>
      <w:r>
        <w:rPr>
          <w:spacing w:val="-3"/>
          <w:w w:val="105"/>
          <w:sz w:val="18"/>
        </w:rPr>
        <w:t> </w:t>
      </w:r>
      <w:r>
        <w:rPr>
          <w:w w:val="105"/>
          <w:sz w:val="18"/>
        </w:rPr>
        <w:t>el</w:t>
      </w:r>
      <w:r>
        <w:rPr>
          <w:spacing w:val="-2"/>
          <w:w w:val="105"/>
          <w:sz w:val="18"/>
        </w:rPr>
        <w:t> </w:t>
      </w:r>
      <w:r>
        <w:rPr>
          <w:w w:val="105"/>
          <w:sz w:val="18"/>
        </w:rPr>
        <w:t>plazo</w:t>
      </w:r>
      <w:r>
        <w:rPr>
          <w:spacing w:val="-5"/>
          <w:w w:val="105"/>
          <w:sz w:val="18"/>
        </w:rPr>
        <w:t> </w:t>
      </w:r>
      <w:r>
        <w:rPr>
          <w:w w:val="105"/>
          <w:sz w:val="18"/>
        </w:rPr>
        <w:t>de</w:t>
      </w:r>
      <w:r>
        <w:rPr>
          <w:spacing w:val="-3"/>
          <w:w w:val="105"/>
          <w:sz w:val="18"/>
        </w:rPr>
        <w:t> </w:t>
      </w:r>
      <w:r>
        <w:rPr>
          <w:w w:val="105"/>
          <w:sz w:val="18"/>
        </w:rPr>
        <w:t>un</w:t>
      </w:r>
      <w:r>
        <w:rPr>
          <w:spacing w:val="-5"/>
          <w:w w:val="105"/>
          <w:sz w:val="18"/>
        </w:rPr>
        <w:t> </w:t>
      </w:r>
      <w:r>
        <w:rPr>
          <w:w w:val="105"/>
          <w:sz w:val="18"/>
        </w:rPr>
        <w:t>mes</w:t>
      </w:r>
      <w:r>
        <w:rPr>
          <w:spacing w:val="-3"/>
          <w:w w:val="105"/>
          <w:sz w:val="18"/>
        </w:rPr>
        <w:t> </w:t>
      </w:r>
      <w:r>
        <w:rPr>
          <w:w w:val="105"/>
          <w:sz w:val="18"/>
        </w:rPr>
        <w:t>conforme</w:t>
      </w:r>
      <w:r>
        <w:rPr>
          <w:spacing w:val="-3"/>
          <w:w w:val="105"/>
          <w:sz w:val="18"/>
        </w:rPr>
        <w:t> </w:t>
      </w:r>
      <w:r>
        <w:rPr>
          <w:w w:val="105"/>
          <w:sz w:val="18"/>
        </w:rPr>
        <w:t>al artículo 114</w:t>
      </w:r>
      <w:r>
        <w:rPr>
          <w:w w:val="105"/>
          <w:sz w:val="18"/>
        </w:rPr>
        <w:t> de</w:t>
      </w:r>
      <w:r>
        <w:rPr>
          <w:w w:val="105"/>
          <w:sz w:val="18"/>
        </w:rPr>
        <w:t> la</w:t>
      </w:r>
      <w:r>
        <w:rPr>
          <w:w w:val="105"/>
          <w:sz w:val="18"/>
        </w:rPr>
        <w:t> Ley</w:t>
      </w:r>
      <w:r>
        <w:rPr>
          <w:w w:val="105"/>
          <w:sz w:val="18"/>
        </w:rPr>
        <w:t> 39/2015, de</w:t>
      </w:r>
      <w:r>
        <w:rPr>
          <w:w w:val="105"/>
          <w:sz w:val="18"/>
        </w:rPr>
        <w:t> 1 de</w:t>
      </w:r>
      <w:r>
        <w:rPr>
          <w:w w:val="105"/>
          <w:sz w:val="18"/>
        </w:rPr>
        <w:t> octubre,</w:t>
      </w:r>
      <w:r>
        <w:rPr>
          <w:w w:val="105"/>
          <w:sz w:val="18"/>
        </w:rPr>
        <w:t> del</w:t>
      </w:r>
      <w:r>
        <w:rPr>
          <w:w w:val="105"/>
          <w:sz w:val="18"/>
        </w:rPr>
        <w:t> Procedimiento</w:t>
      </w:r>
      <w:r>
        <w:rPr>
          <w:w w:val="105"/>
          <w:sz w:val="18"/>
        </w:rPr>
        <w:t> Administrativo</w:t>
      </w:r>
      <w:r>
        <w:rPr>
          <w:w w:val="105"/>
          <w:sz w:val="18"/>
        </w:rPr>
        <w:t> Común</w:t>
      </w:r>
      <w:r>
        <w:rPr>
          <w:w w:val="105"/>
          <w:sz w:val="18"/>
        </w:rPr>
        <w:t> de</w:t>
      </w:r>
      <w:r>
        <w:rPr>
          <w:w w:val="105"/>
          <w:sz w:val="18"/>
        </w:rPr>
        <w:t> las Administraciones</w:t>
      </w:r>
      <w:r>
        <w:rPr>
          <w:spacing w:val="-8"/>
          <w:w w:val="105"/>
          <w:sz w:val="18"/>
        </w:rPr>
        <w:t> </w:t>
      </w:r>
      <w:r>
        <w:rPr>
          <w:w w:val="105"/>
          <w:sz w:val="18"/>
        </w:rPr>
        <w:t>Públicas.</w:t>
      </w:r>
      <w:r>
        <w:rPr>
          <w:spacing w:val="-9"/>
          <w:w w:val="105"/>
          <w:sz w:val="18"/>
        </w:rPr>
        <w:t> </w:t>
      </w:r>
      <w:r>
        <w:rPr>
          <w:w w:val="105"/>
          <w:sz w:val="18"/>
        </w:rPr>
        <w:t>En</w:t>
      </w:r>
      <w:r>
        <w:rPr>
          <w:spacing w:val="-8"/>
          <w:w w:val="105"/>
          <w:sz w:val="18"/>
        </w:rPr>
        <w:t> </w:t>
      </w:r>
      <w:r>
        <w:rPr>
          <w:w w:val="105"/>
          <w:sz w:val="18"/>
        </w:rPr>
        <w:t>ambos</w:t>
      </w:r>
      <w:r>
        <w:rPr>
          <w:spacing w:val="-9"/>
          <w:w w:val="105"/>
          <w:sz w:val="18"/>
        </w:rPr>
        <w:t> </w:t>
      </w:r>
      <w:r>
        <w:rPr>
          <w:w w:val="105"/>
          <w:sz w:val="18"/>
        </w:rPr>
        <w:t>casos</w:t>
      </w:r>
      <w:r>
        <w:rPr>
          <w:spacing w:val="-8"/>
          <w:w w:val="105"/>
          <w:sz w:val="18"/>
        </w:rPr>
        <w:t> </w:t>
      </w:r>
      <w:r>
        <w:rPr>
          <w:w w:val="105"/>
          <w:sz w:val="18"/>
        </w:rPr>
        <w:t>el</w:t>
      </w:r>
      <w:r>
        <w:rPr>
          <w:spacing w:val="-8"/>
          <w:w w:val="105"/>
          <w:sz w:val="18"/>
        </w:rPr>
        <w:t> </w:t>
      </w:r>
      <w:r>
        <w:rPr>
          <w:w w:val="105"/>
          <w:sz w:val="18"/>
        </w:rPr>
        <w:t>plazo</w:t>
      </w:r>
      <w:r>
        <w:rPr>
          <w:spacing w:val="-9"/>
          <w:w w:val="105"/>
          <w:sz w:val="18"/>
        </w:rPr>
        <w:t> </w:t>
      </w:r>
      <w:r>
        <w:rPr>
          <w:w w:val="105"/>
          <w:sz w:val="18"/>
        </w:rPr>
        <w:t>se</w:t>
      </w:r>
      <w:r>
        <w:rPr>
          <w:spacing w:val="-8"/>
          <w:w w:val="105"/>
          <w:sz w:val="18"/>
        </w:rPr>
        <w:t> </w:t>
      </w:r>
      <w:r>
        <w:rPr>
          <w:w w:val="105"/>
          <w:sz w:val="18"/>
        </w:rPr>
        <w:t>contará</w:t>
      </w:r>
      <w:r>
        <w:rPr>
          <w:spacing w:val="-9"/>
          <w:w w:val="105"/>
          <w:sz w:val="18"/>
        </w:rPr>
        <w:t> </w:t>
      </w:r>
      <w:r>
        <w:rPr>
          <w:w w:val="105"/>
          <w:sz w:val="18"/>
        </w:rPr>
        <w:t>desde</w:t>
      </w:r>
      <w:r>
        <w:rPr>
          <w:spacing w:val="-9"/>
          <w:w w:val="105"/>
          <w:sz w:val="18"/>
        </w:rPr>
        <w:t> </w:t>
      </w:r>
      <w:r>
        <w:rPr>
          <w:w w:val="105"/>
          <w:sz w:val="18"/>
        </w:rPr>
        <w:t>el</w:t>
      </w:r>
      <w:r>
        <w:rPr>
          <w:spacing w:val="-8"/>
          <w:w w:val="105"/>
          <w:sz w:val="18"/>
        </w:rPr>
        <w:t> </w:t>
      </w:r>
      <w:r>
        <w:rPr>
          <w:w w:val="105"/>
          <w:sz w:val="18"/>
        </w:rPr>
        <w:t>día</w:t>
      </w:r>
      <w:r>
        <w:rPr>
          <w:spacing w:val="-8"/>
          <w:w w:val="105"/>
          <w:sz w:val="18"/>
        </w:rPr>
        <w:t> </w:t>
      </w:r>
      <w:r>
        <w:rPr>
          <w:w w:val="105"/>
          <w:sz w:val="18"/>
        </w:rPr>
        <w:t>siguiente</w:t>
      </w:r>
      <w:r>
        <w:rPr>
          <w:spacing w:val="-9"/>
          <w:w w:val="105"/>
          <w:sz w:val="18"/>
        </w:rPr>
        <w:t> </w:t>
      </w:r>
      <w:r>
        <w:rPr>
          <w:w w:val="105"/>
          <w:sz w:val="18"/>
        </w:rPr>
        <w:t>al</w:t>
      </w:r>
      <w:r>
        <w:rPr>
          <w:spacing w:val="-7"/>
          <w:w w:val="105"/>
          <w:sz w:val="18"/>
        </w:rPr>
        <w:t> </w:t>
      </w:r>
      <w:r>
        <w:rPr>
          <w:w w:val="105"/>
          <w:sz w:val="18"/>
        </w:rPr>
        <w:t>de</w:t>
      </w:r>
      <w:r>
        <w:rPr>
          <w:spacing w:val="-9"/>
          <w:w w:val="105"/>
          <w:sz w:val="18"/>
        </w:rPr>
        <w:t> </w:t>
      </w:r>
      <w:r>
        <w:rPr>
          <w:w w:val="105"/>
          <w:sz w:val="18"/>
        </w:rPr>
        <w:t>la</w:t>
      </w:r>
      <w:r>
        <w:rPr>
          <w:spacing w:val="-9"/>
          <w:w w:val="105"/>
          <w:sz w:val="18"/>
        </w:rPr>
        <w:t> </w:t>
      </w:r>
      <w:r>
        <w:rPr>
          <w:w w:val="105"/>
          <w:sz w:val="18"/>
        </w:rPr>
        <w:t>notificación de</w:t>
      </w:r>
      <w:r>
        <w:rPr>
          <w:spacing w:val="-1"/>
          <w:w w:val="105"/>
          <w:sz w:val="18"/>
        </w:rPr>
        <w:t> </w:t>
      </w:r>
      <w:r>
        <w:rPr>
          <w:w w:val="105"/>
          <w:sz w:val="18"/>
        </w:rPr>
        <w:t>la</w:t>
      </w:r>
      <w:r>
        <w:rPr>
          <w:spacing w:val="-3"/>
          <w:w w:val="105"/>
          <w:sz w:val="18"/>
        </w:rPr>
        <w:t> </w:t>
      </w:r>
      <w:r>
        <w:rPr>
          <w:w w:val="105"/>
          <w:sz w:val="18"/>
        </w:rPr>
        <w:t>presente</w:t>
      </w:r>
      <w:r>
        <w:rPr>
          <w:spacing w:val="-1"/>
          <w:w w:val="105"/>
          <w:sz w:val="18"/>
        </w:rPr>
        <w:t> </w:t>
      </w:r>
      <w:r>
        <w:rPr>
          <w:w w:val="105"/>
          <w:sz w:val="18"/>
        </w:rPr>
        <w:t>Orden,</w:t>
      </w:r>
      <w:r>
        <w:rPr>
          <w:spacing w:val="-3"/>
          <w:w w:val="105"/>
          <w:sz w:val="18"/>
        </w:rPr>
        <w:t> </w:t>
      </w:r>
      <w:r>
        <w:rPr>
          <w:w w:val="105"/>
          <w:sz w:val="18"/>
        </w:rPr>
        <w:t>sin</w:t>
      </w:r>
      <w:r>
        <w:rPr>
          <w:spacing w:val="-1"/>
          <w:w w:val="105"/>
          <w:sz w:val="18"/>
        </w:rPr>
        <w:t> </w:t>
      </w:r>
      <w:r>
        <w:rPr>
          <w:w w:val="105"/>
          <w:sz w:val="18"/>
        </w:rPr>
        <w:t>perjuicio</w:t>
      </w:r>
      <w:r>
        <w:rPr>
          <w:spacing w:val="-1"/>
          <w:w w:val="105"/>
          <w:sz w:val="18"/>
        </w:rPr>
        <w:t> </w:t>
      </w:r>
      <w:r>
        <w:rPr>
          <w:w w:val="105"/>
          <w:sz w:val="18"/>
        </w:rPr>
        <w:t>de</w:t>
      </w:r>
      <w:r>
        <w:rPr>
          <w:spacing w:val="-3"/>
          <w:w w:val="105"/>
          <w:sz w:val="18"/>
        </w:rPr>
        <w:t> </w:t>
      </w:r>
      <w:r>
        <w:rPr>
          <w:w w:val="105"/>
          <w:sz w:val="18"/>
        </w:rPr>
        <w:t>cualquier</w:t>
      </w:r>
      <w:r>
        <w:rPr>
          <w:spacing w:val="-2"/>
          <w:w w:val="105"/>
          <w:sz w:val="18"/>
        </w:rPr>
        <w:t> </w:t>
      </w:r>
      <w:r>
        <w:rPr>
          <w:w w:val="105"/>
          <w:sz w:val="18"/>
        </w:rPr>
        <w:t>otro</w:t>
      </w:r>
      <w:r>
        <w:rPr>
          <w:spacing w:val="-1"/>
          <w:w w:val="105"/>
          <w:sz w:val="18"/>
        </w:rPr>
        <w:t> </w:t>
      </w:r>
      <w:r>
        <w:rPr>
          <w:w w:val="105"/>
          <w:sz w:val="18"/>
        </w:rPr>
        <w:t>recurso</w:t>
      </w:r>
      <w:r>
        <w:rPr>
          <w:spacing w:val="-1"/>
          <w:w w:val="105"/>
          <w:sz w:val="18"/>
        </w:rPr>
        <w:t> </w:t>
      </w:r>
      <w:r>
        <w:rPr>
          <w:w w:val="105"/>
          <w:sz w:val="18"/>
        </w:rPr>
        <w:t>o</w:t>
      </w:r>
      <w:r>
        <w:rPr>
          <w:spacing w:val="-3"/>
          <w:w w:val="105"/>
          <w:sz w:val="18"/>
        </w:rPr>
        <w:t> </w:t>
      </w:r>
      <w:r>
        <w:rPr>
          <w:w w:val="105"/>
          <w:sz w:val="18"/>
        </w:rPr>
        <w:t>reclamación</w:t>
      </w:r>
      <w:r>
        <w:rPr>
          <w:spacing w:val="-1"/>
          <w:w w:val="105"/>
          <w:sz w:val="18"/>
        </w:rPr>
        <w:t> </w:t>
      </w:r>
      <w:r>
        <w:rPr>
          <w:w w:val="105"/>
          <w:sz w:val="18"/>
        </w:rPr>
        <w:t>que</w:t>
      </w:r>
      <w:r>
        <w:rPr>
          <w:spacing w:val="-3"/>
          <w:w w:val="105"/>
          <w:sz w:val="18"/>
        </w:rPr>
        <w:t> </w:t>
      </w:r>
      <w:r>
        <w:rPr>
          <w:w w:val="105"/>
          <w:sz w:val="18"/>
        </w:rPr>
        <w:t>se estime</w:t>
      </w:r>
      <w:r>
        <w:rPr>
          <w:spacing w:val="-3"/>
          <w:w w:val="105"/>
          <w:sz w:val="18"/>
        </w:rPr>
        <w:t> </w:t>
      </w:r>
      <w:r>
        <w:rPr>
          <w:w w:val="105"/>
          <w:sz w:val="18"/>
        </w:rPr>
        <w:t>precedente.</w:t>
      </w:r>
    </w:p>
    <w:p>
      <w:pPr>
        <w:pStyle w:val="BodyText"/>
        <w:spacing w:before="98"/>
        <w:rPr>
          <w:sz w:val="18"/>
        </w:rPr>
      </w:pPr>
    </w:p>
    <w:p>
      <w:pPr>
        <w:spacing w:before="1"/>
        <w:ind w:left="266" w:right="29" w:firstLine="0"/>
        <w:jc w:val="center"/>
        <w:rPr>
          <w:sz w:val="18"/>
        </w:rPr>
      </w:pPr>
      <w:r>
        <w:rPr>
          <w:w w:val="105"/>
          <w:sz w:val="18"/>
        </w:rPr>
        <w:t>Las</w:t>
      </w:r>
      <w:r>
        <w:rPr>
          <w:spacing w:val="-10"/>
          <w:w w:val="105"/>
          <w:sz w:val="18"/>
        </w:rPr>
        <w:t> </w:t>
      </w:r>
      <w:r>
        <w:rPr>
          <w:w w:val="105"/>
          <w:sz w:val="18"/>
        </w:rPr>
        <w:t>Palmas</w:t>
      </w:r>
      <w:r>
        <w:rPr>
          <w:spacing w:val="-8"/>
          <w:w w:val="105"/>
          <w:sz w:val="18"/>
        </w:rPr>
        <w:t> </w:t>
      </w:r>
      <w:r>
        <w:rPr>
          <w:w w:val="105"/>
          <w:sz w:val="18"/>
        </w:rPr>
        <w:t>de</w:t>
      </w:r>
      <w:r>
        <w:rPr>
          <w:spacing w:val="-11"/>
          <w:w w:val="105"/>
          <w:sz w:val="18"/>
        </w:rPr>
        <w:t> </w:t>
      </w:r>
      <w:r>
        <w:rPr>
          <w:w w:val="105"/>
          <w:sz w:val="18"/>
        </w:rPr>
        <w:t>Gran</w:t>
      </w:r>
      <w:r>
        <w:rPr>
          <w:spacing w:val="-9"/>
          <w:w w:val="105"/>
          <w:sz w:val="18"/>
        </w:rPr>
        <w:t> </w:t>
      </w:r>
      <w:r>
        <w:rPr>
          <w:spacing w:val="-2"/>
          <w:w w:val="105"/>
          <w:sz w:val="18"/>
        </w:rPr>
        <w:t>Canaria</w:t>
      </w:r>
    </w:p>
    <w:p>
      <w:pPr>
        <w:pStyle w:val="BodyText"/>
        <w:spacing w:before="203"/>
        <w:rPr>
          <w:sz w:val="18"/>
        </w:rPr>
      </w:pPr>
    </w:p>
    <w:p>
      <w:pPr>
        <w:spacing w:before="0"/>
        <w:ind w:left="266" w:right="26" w:firstLine="0"/>
        <w:jc w:val="center"/>
        <w:rPr>
          <w:b/>
          <w:sz w:val="18"/>
        </w:rPr>
      </w:pPr>
      <w:r>
        <w:rPr>
          <w:b/>
          <w:w w:val="105"/>
          <w:sz w:val="18"/>
        </w:rPr>
        <w:t>La</w:t>
      </w:r>
      <w:r>
        <w:rPr>
          <w:b/>
          <w:spacing w:val="-11"/>
          <w:w w:val="105"/>
          <w:sz w:val="18"/>
        </w:rPr>
        <w:t> </w:t>
      </w:r>
      <w:r>
        <w:rPr>
          <w:b/>
          <w:w w:val="105"/>
          <w:sz w:val="18"/>
        </w:rPr>
        <w:t>Consejera</w:t>
      </w:r>
      <w:r>
        <w:rPr>
          <w:b/>
          <w:spacing w:val="-10"/>
          <w:w w:val="105"/>
          <w:sz w:val="18"/>
        </w:rPr>
        <w:t> </w:t>
      </w:r>
      <w:r>
        <w:rPr>
          <w:b/>
          <w:w w:val="105"/>
          <w:sz w:val="18"/>
        </w:rPr>
        <w:t>de</w:t>
      </w:r>
      <w:r>
        <w:rPr>
          <w:b/>
          <w:spacing w:val="-11"/>
          <w:w w:val="105"/>
          <w:sz w:val="18"/>
        </w:rPr>
        <w:t> </w:t>
      </w:r>
      <w:r>
        <w:rPr>
          <w:b/>
          <w:spacing w:val="-2"/>
          <w:w w:val="105"/>
          <w:sz w:val="18"/>
        </w:rPr>
        <w:t>Sanidad</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218"/>
        <w:rPr>
          <w:b/>
        </w:rPr>
      </w:pPr>
    </w:p>
    <w:tbl>
      <w:tblPr>
        <w:tblW w:w="0" w:type="auto"/>
        <w:jc w:val="left"/>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679"/>
        <w:gridCol w:w="1860"/>
      </w:tblGrid>
      <w:tr>
        <w:trPr>
          <w:trHeight w:val="150" w:hRule="atLeast"/>
        </w:trPr>
        <w:tc>
          <w:tcPr>
            <w:tcW w:w="8679" w:type="dxa"/>
            <w:tcBorders>
              <w:right w:val="nil"/>
            </w:tcBorders>
          </w:tcPr>
          <w:p>
            <w:pPr>
              <w:pStyle w:val="TableParagraph"/>
              <w:spacing w:line="128" w:lineRule="exact" w:before="2"/>
              <w:ind w:left="40"/>
              <w:rPr>
                <w:sz w:val="12"/>
              </w:rPr>
            </w:pPr>
            <w:r>
              <w:rPr>
                <w:sz w:val="12"/>
              </w:rPr>
              <w:t>Este documento ha sido firmado electrónicamente </w:t>
            </w:r>
            <w:r>
              <w:rPr>
                <w:spacing w:val="-4"/>
                <w:sz w:val="12"/>
              </w:rPr>
              <w:t>por:</w:t>
            </w:r>
          </w:p>
        </w:tc>
        <w:tc>
          <w:tcPr>
            <w:tcW w:w="1860" w:type="dxa"/>
            <w:tcBorders>
              <w:left w:val="nil"/>
            </w:tcBorders>
          </w:tcPr>
          <w:p>
            <w:pPr>
              <w:pStyle w:val="TableParagraph"/>
              <w:rPr>
                <w:rFonts w:ascii="Times New Roman"/>
                <w:sz w:val="8"/>
              </w:rPr>
            </w:pPr>
          </w:p>
        </w:tc>
      </w:tr>
      <w:tr>
        <w:trPr>
          <w:trHeight w:val="190" w:hRule="atLeast"/>
        </w:trPr>
        <w:tc>
          <w:tcPr>
            <w:tcW w:w="8679" w:type="dxa"/>
          </w:tcPr>
          <w:p>
            <w:pPr>
              <w:pStyle w:val="TableParagraph"/>
              <w:spacing w:before="22"/>
              <w:ind w:left="40"/>
              <w:rPr>
                <w:sz w:val="12"/>
              </w:rPr>
            </w:pPr>
            <w:r>
              <w:rPr>
                <w:sz w:val="12"/>
              </w:rPr>
              <w:t>ESTHER MARIA MONZON MONZON - </w:t>
            </w:r>
            <w:r>
              <w:rPr>
                <w:spacing w:val="-2"/>
                <w:sz w:val="12"/>
              </w:rPr>
              <w:t>CONSEJERO/A</w:t>
            </w:r>
          </w:p>
        </w:tc>
        <w:tc>
          <w:tcPr>
            <w:tcW w:w="1860" w:type="dxa"/>
          </w:tcPr>
          <w:p>
            <w:pPr>
              <w:pStyle w:val="TableParagraph"/>
              <w:spacing w:line="128" w:lineRule="exact" w:before="42"/>
              <w:ind w:left="40"/>
              <w:rPr>
                <w:sz w:val="12"/>
              </w:rPr>
            </w:pPr>
            <w:r>
              <w:rPr>
                <w:sz w:val="12"/>
              </w:rPr>
              <w:t>Fecha: 20/06/2025 - </w:t>
            </w:r>
            <w:r>
              <w:rPr>
                <w:spacing w:val="-2"/>
                <w:sz w:val="12"/>
              </w:rPr>
              <w:t>10:23:51</w:t>
            </w:r>
          </w:p>
        </w:tc>
      </w:tr>
      <w:tr>
        <w:trPr>
          <w:trHeight w:val="150" w:hRule="atLeast"/>
        </w:trPr>
        <w:tc>
          <w:tcPr>
            <w:tcW w:w="10539" w:type="dxa"/>
            <w:gridSpan w:val="2"/>
          </w:tcPr>
          <w:p>
            <w:pPr>
              <w:pStyle w:val="TableParagraph"/>
              <w:spacing w:line="128" w:lineRule="exact" w:before="2"/>
              <w:ind w:left="40"/>
              <w:rPr>
                <w:sz w:val="12"/>
              </w:rPr>
            </w:pPr>
            <w:r>
              <w:rPr>
                <w:sz w:val="12"/>
              </w:rPr>
              <w:t>Este documento ha sido registrado </w:t>
            </w:r>
            <w:r>
              <w:rPr>
                <w:spacing w:val="-2"/>
                <w:sz w:val="12"/>
              </w:rPr>
              <w:t>electrónicamente:</w:t>
            </w:r>
          </w:p>
        </w:tc>
      </w:tr>
      <w:tr>
        <w:trPr>
          <w:trHeight w:val="187" w:hRule="atLeast"/>
        </w:trPr>
        <w:tc>
          <w:tcPr>
            <w:tcW w:w="8679" w:type="dxa"/>
            <w:tcBorders>
              <w:bottom w:val="single" w:sz="6" w:space="0" w:color="000000"/>
            </w:tcBorders>
          </w:tcPr>
          <w:p>
            <w:pPr>
              <w:pStyle w:val="TableParagraph"/>
              <w:spacing w:before="22"/>
              <w:ind w:left="40"/>
              <w:rPr>
                <w:sz w:val="12"/>
              </w:rPr>
            </w:pPr>
            <w:r>
              <w:rPr>
                <w:sz w:val="12"/>
              </w:rPr>
              <w:t>ORDEN - Nº: 421 / 2025 - Libro: 232 - Fecha: 20/06/2025 </w:t>
            </w:r>
            <w:r>
              <w:rPr>
                <w:spacing w:val="-2"/>
                <w:sz w:val="12"/>
              </w:rPr>
              <w:t>13:37:03</w:t>
            </w:r>
          </w:p>
        </w:tc>
        <w:tc>
          <w:tcPr>
            <w:tcW w:w="1860" w:type="dxa"/>
            <w:tcBorders>
              <w:bottom w:val="single" w:sz="6" w:space="0" w:color="000000"/>
            </w:tcBorders>
          </w:tcPr>
          <w:p>
            <w:pPr>
              <w:pStyle w:val="TableParagraph"/>
              <w:spacing w:line="125" w:lineRule="exact" w:before="42"/>
              <w:ind w:left="40"/>
              <w:rPr>
                <w:sz w:val="12"/>
              </w:rPr>
            </w:pPr>
            <w:r>
              <w:rPr>
                <w:sz w:val="12"/>
              </w:rPr>
              <w:t>Fecha: 20/06/2025 - </w:t>
            </w:r>
            <w:r>
              <w:rPr>
                <w:spacing w:val="-2"/>
                <w:sz w:val="12"/>
              </w:rPr>
              <w:t>13:37:03</w:t>
            </w:r>
          </w:p>
        </w:tc>
      </w:tr>
      <w:tr>
        <w:trPr>
          <w:trHeight w:val="763" w:hRule="atLeast"/>
        </w:trPr>
        <w:tc>
          <w:tcPr>
            <w:tcW w:w="10539" w:type="dxa"/>
            <w:gridSpan w:val="2"/>
            <w:tcBorders>
              <w:top w:val="single" w:sz="6" w:space="0" w:color="000000"/>
            </w:tcBorders>
          </w:tcPr>
          <w:p>
            <w:pPr>
              <w:pStyle w:val="TableParagraph"/>
              <w:spacing w:before="4"/>
              <w:rPr>
                <w:rFonts w:ascii="Times New Roman"/>
                <w:b/>
                <w:sz w:val="12"/>
              </w:rPr>
            </w:pPr>
          </w:p>
          <w:p>
            <w:pPr>
              <w:pStyle w:val="TableParagraph"/>
              <w:spacing w:line="208" w:lineRule="auto"/>
              <w:ind w:left="40" w:right="5832"/>
              <w:rPr>
                <w:sz w:val="12"/>
              </w:rPr>
            </w:pPr>
            <w:r>
              <w:rPr>
                <w:sz w:val="12"/>
              </w:rPr>
              <w:t>En</w:t>
            </w:r>
            <w:r>
              <w:rPr>
                <w:spacing w:val="-11"/>
                <w:sz w:val="12"/>
              </w:rPr>
              <w:t> </w:t>
            </w:r>
            <w:r>
              <w:rPr>
                <w:sz w:val="12"/>
              </w:rPr>
              <w:t>la</w:t>
            </w:r>
            <w:r>
              <w:rPr>
                <w:spacing w:val="-8"/>
                <w:sz w:val="12"/>
              </w:rPr>
              <w:t> </w:t>
            </w:r>
            <w:r>
              <w:rPr>
                <w:sz w:val="12"/>
              </w:rPr>
              <w:t>dirección</w:t>
            </w:r>
            <w:r>
              <w:rPr>
                <w:spacing w:val="-8"/>
                <w:sz w:val="12"/>
              </w:rPr>
              <w:t> </w:t>
            </w:r>
            <w:r>
              <w:rPr>
                <w:sz w:val="12"/>
              </w:rPr>
              <w:t>https://sede.gobiernodecanarias.org/sede/verifica_doc?codigo_nde=</w:t>
            </w:r>
            <w:r>
              <w:rPr>
                <w:spacing w:val="40"/>
                <w:sz w:val="12"/>
              </w:rPr>
              <w:t> </w:t>
            </w:r>
            <w:r>
              <w:rPr>
                <w:sz w:val="12"/>
              </w:rPr>
              <w:t>puede ser comprobada la autenticidad de esta copia, mediante el número de</w:t>
            </w:r>
            <w:r>
              <w:rPr>
                <w:spacing w:val="40"/>
                <w:sz w:val="12"/>
              </w:rPr>
              <w:t> </w:t>
            </w:r>
            <w:r>
              <w:rPr>
                <w:sz w:val="12"/>
              </w:rPr>
              <w:t>documento electrónico siguiente:</w:t>
            </w:r>
          </w:p>
          <w:p>
            <w:pPr>
              <w:pStyle w:val="TableParagraph"/>
              <w:spacing w:before="5"/>
              <w:ind w:left="136"/>
              <w:rPr>
                <w:rFonts w:ascii="Courier New"/>
                <w:sz w:val="16"/>
              </w:rPr>
            </w:pPr>
            <w:r>
              <w:rPr>
                <w:rFonts w:ascii="Courier New"/>
                <w:sz w:val="16"/>
              </w:rPr>
              <mc:AlternateContent>
                <mc:Choice Requires="wps">
                  <w:drawing>
                    <wp:anchor distT="0" distB="0" distL="0" distR="0" allowOverlap="1" layoutInCell="1" locked="0" behindDoc="1" simplePos="0" relativeHeight="487407104">
                      <wp:simplePos x="0" y="0"/>
                      <wp:positionH relativeFrom="column">
                        <wp:posOffset>3049523</wp:posOffset>
                      </wp:positionH>
                      <wp:positionV relativeFrom="paragraph">
                        <wp:posOffset>-311148</wp:posOffset>
                      </wp:positionV>
                      <wp:extent cx="3153410" cy="46799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3153410" cy="467995"/>
                                <a:chExt cx="3153410" cy="467995"/>
                              </a:xfrm>
                            </wpg:grpSpPr>
                            <pic:pic>
                              <pic:nvPicPr>
                                <pic:cNvPr id="9" name="Image 9"/>
                                <pic:cNvPicPr/>
                              </pic:nvPicPr>
                              <pic:blipFill>
                                <a:blip r:embed="rId10" cstate="print"/>
                                <a:stretch>
                                  <a:fillRect/>
                                </a:stretch>
                              </pic:blipFill>
                              <pic:spPr>
                                <a:xfrm>
                                  <a:off x="0" y="0"/>
                                  <a:ext cx="3146215" cy="466439"/>
                                </a:xfrm>
                                <a:prstGeom prst="rect">
                                  <a:avLst/>
                                </a:prstGeom>
                              </pic:spPr>
                            </pic:pic>
                          </wpg:wgp>
                        </a:graphicData>
                      </a:graphic>
                    </wp:anchor>
                  </w:drawing>
                </mc:Choice>
                <mc:Fallback>
                  <w:pict>
                    <v:group style="position:absolute;margin-left:240.119995pt;margin-top:-24.499844pt;width:248.3pt;height:36.85pt;mso-position-horizontal-relative:column;mso-position-vertical-relative:paragraph;z-index:-15909376" id="docshapegroup6" coordorigin="4802,-490" coordsize="4966,737">
                      <v:shape style="position:absolute;left:4802;top:-490;width:4955;height:735" type="#_x0000_t75" id="docshape7" stroked="false">
                        <v:imagedata r:id="rId10" o:title=""/>
                      </v:shape>
                      <w10:wrap type="none"/>
                    </v:group>
                  </w:pict>
                </mc:Fallback>
              </mc:AlternateContent>
            </w:r>
            <w:r>
              <w:rPr>
                <w:rFonts w:ascii="Courier New"/>
                <w:sz w:val="16"/>
              </w:rPr>
              <mc:AlternateContent>
                <mc:Choice Requires="wps">
                  <w:drawing>
                    <wp:anchor distT="0" distB="0" distL="0" distR="0" allowOverlap="1" layoutInCell="1" locked="0" behindDoc="1" simplePos="0" relativeHeight="487407616">
                      <wp:simplePos x="0" y="0"/>
                      <wp:positionH relativeFrom="column">
                        <wp:posOffset>6303063</wp:posOffset>
                      </wp:positionH>
                      <wp:positionV relativeFrom="paragraph">
                        <wp:posOffset>-247340</wp:posOffset>
                      </wp:positionV>
                      <wp:extent cx="340360" cy="340360"/>
                      <wp:effectExtent l="0" t="0" r="0" b="0"/>
                      <wp:wrapNone/>
                      <wp:docPr id="10" name="Group 10"/>
                      <wp:cNvGraphicFramePr>
                        <a:graphicFrameLocks/>
                      </wp:cNvGraphicFramePr>
                      <a:graphic>
                        <a:graphicData uri="http://schemas.microsoft.com/office/word/2010/wordprocessingGroup">
                          <wpg:wgp>
                            <wpg:cNvPr id="10" name="Group 10"/>
                            <wpg:cNvGrpSpPr/>
                            <wpg:grpSpPr>
                              <a:xfrm>
                                <a:off x="0" y="0"/>
                                <a:ext cx="340360" cy="340360"/>
                                <a:chExt cx="340360" cy="340360"/>
                              </a:xfrm>
                            </wpg:grpSpPr>
                            <pic:pic>
                              <pic:nvPicPr>
                                <pic:cNvPr id="11" name="Image 11">
                                  <a:hlinkClick r:id="rId12"/>
                                </pic:cNvPr>
                                <pic:cNvPicPr/>
                              </pic:nvPicPr>
                              <pic:blipFill>
                                <a:blip r:embed="rId11" cstate="print"/>
                                <a:stretch>
                                  <a:fillRect/>
                                </a:stretch>
                              </pic:blipFill>
                              <pic:spPr>
                                <a:xfrm>
                                  <a:off x="0" y="0"/>
                                  <a:ext cx="338328" cy="338328"/>
                                </a:xfrm>
                                <a:prstGeom prst="rect">
                                  <a:avLst/>
                                </a:prstGeom>
                              </pic:spPr>
                            </pic:pic>
                          </wpg:wgp>
                        </a:graphicData>
                      </a:graphic>
                    </wp:anchor>
                  </w:drawing>
                </mc:Choice>
                <mc:Fallback>
                  <w:pict>
                    <v:group style="position:absolute;margin-left:496.30423pt;margin-top:-19.475622pt;width:26.8pt;height:26.8pt;mso-position-horizontal-relative:column;mso-position-vertical-relative:paragraph;z-index:-15908864" id="docshapegroup8" coordorigin="9926,-390" coordsize="536,536">
                      <v:shape style="position:absolute;left:9926;top:-390;width:533;height:533" type="#_x0000_t75" id="docshape9" href="https://sede.gobiernodecanarias.org/sede/verifica_doc?codigo_nde=RP001-0005%2BIpAQoGFOlgnP4k83VZew%3D%3D" stroked="false">
                        <v:imagedata r:id="rId11" o:title=""/>
                      </v:shape>
                      <w10:wrap type="none"/>
                    </v:group>
                  </w:pict>
                </mc:Fallback>
              </mc:AlternateContent>
            </w:r>
            <w:r>
              <w:rPr>
                <w:rFonts w:ascii="Courier New"/>
                <w:sz w:val="16"/>
              </w:rPr>
              <w:t>RP001-</w:t>
            </w:r>
            <w:r>
              <w:rPr>
                <w:rFonts w:ascii="Courier New"/>
                <w:spacing w:val="-2"/>
                <w:sz w:val="16"/>
              </w:rPr>
              <w:t>0005+IpAQoGFOlgnP4k83VZew==</w:t>
            </w:r>
          </w:p>
        </w:tc>
      </w:tr>
      <w:tr>
        <w:trPr>
          <w:trHeight w:val="190" w:hRule="atLeast"/>
        </w:trPr>
        <w:tc>
          <w:tcPr>
            <w:tcW w:w="10539" w:type="dxa"/>
            <w:gridSpan w:val="2"/>
          </w:tcPr>
          <w:p>
            <w:pPr>
              <w:pStyle w:val="TableParagraph"/>
              <w:spacing w:line="128" w:lineRule="exact" w:before="42"/>
              <w:ind w:left="40"/>
              <w:rPr>
                <w:sz w:val="12"/>
              </w:rPr>
            </w:pPr>
            <w:r>
              <w:rPr>
                <w:sz w:val="12"/>
              </w:rPr>
              <w:t>El presente documento ha sido descargado el 23/06/2025 - </w:t>
            </w:r>
            <w:r>
              <w:rPr>
                <w:spacing w:val="-2"/>
                <w:sz w:val="12"/>
              </w:rPr>
              <w:t>12:44:09</w:t>
            </w:r>
          </w:p>
        </w:tc>
      </w:tr>
    </w:tbl>
    <w:sectPr>
      <w:headerReference w:type="default" r:id="rId7"/>
      <w:footerReference w:type="default" r:id="rId8"/>
      <w:pgSz w:w="11900" w:h="16840"/>
      <w:pgMar w:header="0" w:footer="0" w:top="840" w:bottom="280" w:left="566" w:right="566"/>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Courier New">
    <w:altName w:val="Courier New"/>
    <w:charset w:val="1"/>
    <w:family w:val="modern"/>
    <w:pitch w:val="default"/>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mc:AlternateContent>
        <mc:Choice Requires="wps">
          <w:drawing>
            <wp:anchor distT="0" distB="0" distL="0" distR="0" allowOverlap="1" layoutInCell="1" locked="0" behindDoc="1" simplePos="0" relativeHeight="487407616">
              <wp:simplePos x="0" y="0"/>
              <wp:positionH relativeFrom="page">
                <wp:posOffset>428879</wp:posOffset>
              </wp:positionH>
              <wp:positionV relativeFrom="page">
                <wp:posOffset>9927335</wp:posOffset>
              </wp:positionV>
              <wp:extent cx="6699250" cy="49974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6699250" cy="499745"/>
                        <a:chExt cx="6699250" cy="499745"/>
                      </a:xfrm>
                    </wpg:grpSpPr>
                    <wps:wsp>
                      <wps:cNvPr id="3" name="Graphic 3"/>
                      <wps:cNvSpPr/>
                      <wps:spPr>
                        <a:xfrm>
                          <a:off x="3175" y="3175"/>
                          <a:ext cx="6254115" cy="493395"/>
                        </a:xfrm>
                        <a:custGeom>
                          <a:avLst/>
                          <a:gdLst/>
                          <a:ahLst/>
                          <a:cxnLst/>
                          <a:rect l="l" t="t" r="r" b="b"/>
                          <a:pathLst>
                            <a:path w="6254115" h="493395">
                              <a:moveTo>
                                <a:pt x="0" y="492887"/>
                              </a:moveTo>
                              <a:lnTo>
                                <a:pt x="0" y="0"/>
                              </a:lnTo>
                            </a:path>
                            <a:path w="6254115" h="493395">
                              <a:moveTo>
                                <a:pt x="0" y="492887"/>
                              </a:moveTo>
                              <a:lnTo>
                                <a:pt x="2998723" y="492887"/>
                              </a:lnTo>
                            </a:path>
                            <a:path w="6254115" h="493395">
                              <a:moveTo>
                                <a:pt x="0" y="0"/>
                              </a:moveTo>
                              <a:lnTo>
                                <a:pt x="2998723" y="0"/>
                              </a:lnTo>
                            </a:path>
                            <a:path w="6254115" h="493395">
                              <a:moveTo>
                                <a:pt x="2998723" y="492887"/>
                              </a:moveTo>
                              <a:lnTo>
                                <a:pt x="6253607" y="492887"/>
                              </a:lnTo>
                            </a:path>
                            <a:path w="6254115" h="493395">
                              <a:moveTo>
                                <a:pt x="2998723" y="0"/>
                              </a:moveTo>
                              <a:lnTo>
                                <a:pt x="6253607" y="0"/>
                              </a:lnTo>
                            </a:path>
                          </a:pathLst>
                        </a:custGeom>
                        <a:ln w="6350">
                          <a:solidFill>
                            <a:srgbClr val="000000"/>
                          </a:solidFill>
                          <a:prstDash val="solid"/>
                        </a:ln>
                      </wps:spPr>
                      <wps:bodyPr wrap="square" lIns="0" tIns="0" rIns="0" bIns="0" rtlCol="0">
                        <a:prstTxWarp prst="textNoShape">
                          <a:avLst/>
                        </a:prstTxWarp>
                        <a:noAutofit/>
                      </wps:bodyPr>
                    </wps:wsp>
                    <pic:pic>
                      <pic:nvPicPr>
                        <pic:cNvPr id="4" name="Image 4"/>
                        <pic:cNvPicPr/>
                      </pic:nvPicPr>
                      <pic:blipFill>
                        <a:blip r:embed="rId1" cstate="print"/>
                        <a:stretch>
                          <a:fillRect/>
                        </a:stretch>
                      </pic:blipFill>
                      <pic:spPr>
                        <a:xfrm>
                          <a:off x="3052698" y="15875"/>
                          <a:ext cx="3153282" cy="467487"/>
                        </a:xfrm>
                        <a:prstGeom prst="rect">
                          <a:avLst/>
                        </a:prstGeom>
                      </pic:spPr>
                    </pic:pic>
                    <pic:pic>
                      <pic:nvPicPr>
                        <pic:cNvPr id="5" name="Image 5">
                          <a:hlinkClick r:id="rId3"/>
                        </pic:cNvPr>
                        <pic:cNvPicPr/>
                      </pic:nvPicPr>
                      <pic:blipFill>
                        <a:blip r:embed="rId2" cstate="print"/>
                        <a:stretch>
                          <a:fillRect/>
                        </a:stretch>
                      </pic:blipFill>
                      <pic:spPr>
                        <a:xfrm>
                          <a:off x="6256782" y="0"/>
                          <a:ext cx="441960" cy="499237"/>
                        </a:xfrm>
                        <a:prstGeom prst="rect">
                          <a:avLst/>
                        </a:prstGeom>
                      </pic:spPr>
                    </pic:pic>
                  </wpg:wgp>
                </a:graphicData>
              </a:graphic>
            </wp:anchor>
          </w:drawing>
        </mc:Choice>
        <mc:Fallback>
          <w:pict>
            <v:group style="position:absolute;margin-left:33.770pt;margin-top:781.679993pt;width:527.5pt;height:39.35pt;mso-position-horizontal-relative:page;mso-position-vertical-relative:page;z-index:-15908864" id="docshapegroup1" coordorigin="675,15634" coordsize="10550,787">
              <v:shape style="position:absolute;left:680;top:15638;width:9849;height:777" id="docshape2" coordorigin="680,15639" coordsize="9849,777" path="m680,16415l680,15639m680,16415l5403,16415m680,15639l5403,15639m5403,16415l10529,16415m5403,15639l10529,15639e" filled="false" stroked="true" strokeweight=".5pt" strokecolor="#000000">
                <v:path arrowok="t"/>
                <v:stroke dashstyle="solid"/>
              </v:shape>
              <v:shape style="position:absolute;left:5482;top:15658;width:4966;height:737" type="#_x0000_t75" id="docshape3" stroked="false">
                <v:imagedata r:id="rId1" o:title=""/>
              </v:shape>
              <v:shape style="position:absolute;left:10528;top:15633;width:696;height:787" type="#_x0000_t75" id="docshape4" href="https://sede.gobiernodecanarias.org/sede/verifica_doc?codigo_nde=RP001-0005%2BIpAQoGFOlgnP4k83VZew%3D%3D" stroked="false">
                <v:imagedata r:id="rId2" o:title=""/>
              </v:shape>
              <w10:wrap type="none"/>
            </v:group>
          </w:pict>
        </mc:Fallback>
      </mc:AlternateContent>
    </w:r>
    <w:r>
      <w:rPr/>
      <mc:AlternateContent>
        <mc:Choice Requires="wps">
          <w:drawing>
            <wp:anchor distT="0" distB="0" distL="0" distR="0" allowOverlap="1" layoutInCell="1" locked="0" behindDoc="1" simplePos="0" relativeHeight="487408128">
              <wp:simplePos x="0" y="0"/>
              <wp:positionH relativeFrom="page">
                <wp:posOffset>444754</wp:posOffset>
              </wp:positionH>
              <wp:positionV relativeFrom="page">
                <wp:posOffset>10006436</wp:posOffset>
              </wp:positionV>
              <wp:extent cx="2857500" cy="37909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857500" cy="379095"/>
                      </a:xfrm>
                      <a:prstGeom prst="rect">
                        <a:avLst/>
                      </a:prstGeom>
                    </wps:spPr>
                    <wps:txbx>
                      <w:txbxContent>
                        <w:p>
                          <w:pPr>
                            <w:spacing w:line="208" w:lineRule="auto" w:before="30"/>
                            <w:ind w:left="20" w:right="0" w:firstLine="0"/>
                            <w:jc w:val="left"/>
                            <w:rPr>
                              <w:rFonts w:ascii="Arial MT" w:hAnsi="Arial MT"/>
                              <w:sz w:val="12"/>
                            </w:rPr>
                          </w:pPr>
                          <w:r>
                            <w:rPr>
                              <w:rFonts w:ascii="Arial MT" w:hAnsi="Arial MT"/>
                              <w:sz w:val="12"/>
                            </w:rPr>
                            <w:t>En</w:t>
                          </w:r>
                          <w:r>
                            <w:rPr>
                              <w:rFonts w:ascii="Arial MT" w:hAnsi="Arial MT"/>
                              <w:spacing w:val="-11"/>
                              <w:sz w:val="12"/>
                            </w:rPr>
                            <w:t> </w:t>
                          </w:r>
                          <w:r>
                            <w:rPr>
                              <w:rFonts w:ascii="Arial MT" w:hAnsi="Arial MT"/>
                              <w:sz w:val="12"/>
                            </w:rPr>
                            <w:t>la</w:t>
                          </w:r>
                          <w:r>
                            <w:rPr>
                              <w:rFonts w:ascii="Arial MT" w:hAnsi="Arial MT"/>
                              <w:spacing w:val="-8"/>
                              <w:sz w:val="12"/>
                            </w:rPr>
                            <w:t> </w:t>
                          </w:r>
                          <w:r>
                            <w:rPr>
                              <w:rFonts w:ascii="Arial MT" w:hAnsi="Arial MT"/>
                              <w:sz w:val="12"/>
                            </w:rPr>
                            <w:t>dirección</w:t>
                          </w:r>
                          <w:r>
                            <w:rPr>
                              <w:rFonts w:ascii="Arial MT" w:hAnsi="Arial MT"/>
                              <w:spacing w:val="-8"/>
                              <w:sz w:val="12"/>
                            </w:rPr>
                            <w:t> </w:t>
                          </w:r>
                          <w:r>
                            <w:rPr>
                              <w:rFonts w:ascii="Arial MT" w:hAnsi="Arial MT"/>
                              <w:sz w:val="12"/>
                            </w:rPr>
                            <w:t>https://sede.gobiernodecanarias.org/sede/verifica_doc?codigo_nde=</w:t>
                          </w:r>
                          <w:r>
                            <w:rPr>
                              <w:rFonts w:ascii="Arial MT" w:hAnsi="Arial MT"/>
                              <w:spacing w:val="40"/>
                              <w:sz w:val="12"/>
                            </w:rPr>
                            <w:t> </w:t>
                          </w:r>
                          <w:r>
                            <w:rPr>
                              <w:rFonts w:ascii="Arial MT" w:hAnsi="Arial MT"/>
                              <w:sz w:val="12"/>
                            </w:rPr>
                            <w:t>puede ser comprobada la autenticidad de esta copia, mediante el número de</w:t>
                          </w:r>
                          <w:r>
                            <w:rPr>
                              <w:rFonts w:ascii="Arial MT" w:hAnsi="Arial MT"/>
                              <w:spacing w:val="40"/>
                              <w:sz w:val="12"/>
                            </w:rPr>
                            <w:t> </w:t>
                          </w:r>
                          <w:r>
                            <w:rPr>
                              <w:rFonts w:ascii="Arial MT" w:hAnsi="Arial MT"/>
                              <w:sz w:val="12"/>
                            </w:rPr>
                            <w:t>documento electrónico siguiente:</w:t>
                          </w:r>
                        </w:p>
                        <w:p>
                          <w:pPr>
                            <w:spacing w:before="5"/>
                            <w:ind w:left="116" w:right="0" w:firstLine="0"/>
                            <w:jc w:val="left"/>
                            <w:rPr>
                              <w:rFonts w:ascii="Courier New"/>
                              <w:sz w:val="16"/>
                            </w:rPr>
                          </w:pPr>
                          <w:r>
                            <w:rPr>
                              <w:rFonts w:ascii="Courier New"/>
                              <w:sz w:val="16"/>
                            </w:rPr>
                            <w:t>RP001-</w:t>
                          </w:r>
                          <w:r>
                            <w:rPr>
                              <w:rFonts w:ascii="Courier New"/>
                              <w:spacing w:val="-2"/>
                              <w:sz w:val="16"/>
                            </w:rPr>
                            <w:t>0005+IpAQoGFOlgnP4k83VZew==</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5.020pt;margin-top:787.908386pt;width:225pt;height:29.85pt;mso-position-horizontal-relative:page;mso-position-vertical-relative:page;z-index:-15908352" type="#_x0000_t202" id="docshape5" filled="false" stroked="false">
              <v:textbox inset="0,0,0,0">
                <w:txbxContent>
                  <w:p>
                    <w:pPr>
                      <w:spacing w:line="208" w:lineRule="auto" w:before="30"/>
                      <w:ind w:left="20" w:right="0" w:firstLine="0"/>
                      <w:jc w:val="left"/>
                      <w:rPr>
                        <w:rFonts w:ascii="Arial MT" w:hAnsi="Arial MT"/>
                        <w:sz w:val="12"/>
                      </w:rPr>
                    </w:pPr>
                    <w:r>
                      <w:rPr>
                        <w:rFonts w:ascii="Arial MT" w:hAnsi="Arial MT"/>
                        <w:sz w:val="12"/>
                      </w:rPr>
                      <w:t>En</w:t>
                    </w:r>
                    <w:r>
                      <w:rPr>
                        <w:rFonts w:ascii="Arial MT" w:hAnsi="Arial MT"/>
                        <w:spacing w:val="-11"/>
                        <w:sz w:val="12"/>
                      </w:rPr>
                      <w:t> </w:t>
                    </w:r>
                    <w:r>
                      <w:rPr>
                        <w:rFonts w:ascii="Arial MT" w:hAnsi="Arial MT"/>
                        <w:sz w:val="12"/>
                      </w:rPr>
                      <w:t>la</w:t>
                    </w:r>
                    <w:r>
                      <w:rPr>
                        <w:rFonts w:ascii="Arial MT" w:hAnsi="Arial MT"/>
                        <w:spacing w:val="-8"/>
                        <w:sz w:val="12"/>
                      </w:rPr>
                      <w:t> </w:t>
                    </w:r>
                    <w:r>
                      <w:rPr>
                        <w:rFonts w:ascii="Arial MT" w:hAnsi="Arial MT"/>
                        <w:sz w:val="12"/>
                      </w:rPr>
                      <w:t>dirección</w:t>
                    </w:r>
                    <w:r>
                      <w:rPr>
                        <w:rFonts w:ascii="Arial MT" w:hAnsi="Arial MT"/>
                        <w:spacing w:val="-8"/>
                        <w:sz w:val="12"/>
                      </w:rPr>
                      <w:t> </w:t>
                    </w:r>
                    <w:r>
                      <w:rPr>
                        <w:rFonts w:ascii="Arial MT" w:hAnsi="Arial MT"/>
                        <w:sz w:val="12"/>
                      </w:rPr>
                      <w:t>https://sede.gobiernodecanarias.org/sede/verifica_doc?codigo_nde=</w:t>
                    </w:r>
                    <w:r>
                      <w:rPr>
                        <w:rFonts w:ascii="Arial MT" w:hAnsi="Arial MT"/>
                        <w:spacing w:val="40"/>
                        <w:sz w:val="12"/>
                      </w:rPr>
                      <w:t> </w:t>
                    </w:r>
                    <w:r>
                      <w:rPr>
                        <w:rFonts w:ascii="Arial MT" w:hAnsi="Arial MT"/>
                        <w:sz w:val="12"/>
                      </w:rPr>
                      <w:t>puede ser comprobada la autenticidad de esta copia, mediante el número de</w:t>
                    </w:r>
                    <w:r>
                      <w:rPr>
                        <w:rFonts w:ascii="Arial MT" w:hAnsi="Arial MT"/>
                        <w:spacing w:val="40"/>
                        <w:sz w:val="12"/>
                      </w:rPr>
                      <w:t> </w:t>
                    </w:r>
                    <w:r>
                      <w:rPr>
                        <w:rFonts w:ascii="Arial MT" w:hAnsi="Arial MT"/>
                        <w:sz w:val="12"/>
                      </w:rPr>
                      <w:t>documento electrónico siguiente:</w:t>
                    </w:r>
                  </w:p>
                  <w:p>
                    <w:pPr>
                      <w:spacing w:before="5"/>
                      <w:ind w:left="116" w:right="0" w:firstLine="0"/>
                      <w:jc w:val="left"/>
                      <w:rPr>
                        <w:rFonts w:ascii="Courier New"/>
                        <w:sz w:val="16"/>
                      </w:rPr>
                    </w:pPr>
                    <w:r>
                      <w:rPr>
                        <w:rFonts w:ascii="Courier New"/>
                        <w:sz w:val="16"/>
                      </w:rPr>
                      <w:t>RP001-</w:t>
                    </w:r>
                    <w:r>
                      <w:rPr>
                        <w:rFonts w:ascii="Courier New"/>
                        <w:spacing w:val="-2"/>
                        <w:sz w:val="16"/>
                      </w:rPr>
                      <w:t>0005+IpAQoGFOlgnP4k83VZew==</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pPr>
    <w:r>
      <w:rPr/>
      <w:drawing>
        <wp:anchor distT="0" distB="0" distL="0" distR="0" allowOverlap="1" layoutInCell="1" locked="0" behindDoc="1" simplePos="0" relativeHeight="487407104">
          <wp:simplePos x="0" y="0"/>
          <wp:positionH relativeFrom="page">
            <wp:posOffset>1097908</wp:posOffset>
          </wp:positionH>
          <wp:positionV relativeFrom="page">
            <wp:posOffset>586332</wp:posOffset>
          </wp:positionV>
          <wp:extent cx="1245472" cy="620429"/>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245472" cy="620429"/>
                  </a:xfrm>
                  <a:prstGeom prst="rect">
                    <a:avLst/>
                  </a:prstGeom>
                </pic:spPr>
              </pic:pic>
            </a:graphicData>
          </a:graphic>
        </wp:anchor>
      </w:drawing>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lowerLetter"/>
      <w:lvlText w:val="%1)"/>
      <w:lvlJc w:val="left"/>
      <w:pPr>
        <w:ind w:left="1375" w:hanging="213"/>
        <w:jc w:val="left"/>
      </w:pPr>
      <w:rPr>
        <w:rFonts w:hint="default" w:ascii="Times New Roman" w:hAnsi="Times New Roman" w:eastAsia="Times New Roman" w:cs="Times New Roman"/>
        <w:b w:val="0"/>
        <w:bCs w:val="0"/>
        <w:i w:val="0"/>
        <w:iCs w:val="0"/>
        <w:spacing w:val="0"/>
        <w:w w:val="102"/>
        <w:sz w:val="20"/>
        <w:szCs w:val="20"/>
        <w:lang w:val="es-ES" w:eastAsia="en-US" w:bidi="ar-SA"/>
      </w:rPr>
    </w:lvl>
    <w:lvl w:ilvl="1">
      <w:start w:val="0"/>
      <w:numFmt w:val="bullet"/>
      <w:lvlText w:val="•"/>
      <w:lvlJc w:val="left"/>
      <w:pPr>
        <w:ind w:left="2318" w:hanging="213"/>
      </w:pPr>
      <w:rPr>
        <w:rFonts w:hint="default"/>
        <w:lang w:val="es-ES" w:eastAsia="en-US" w:bidi="ar-SA"/>
      </w:rPr>
    </w:lvl>
    <w:lvl w:ilvl="2">
      <w:start w:val="0"/>
      <w:numFmt w:val="bullet"/>
      <w:lvlText w:val="•"/>
      <w:lvlJc w:val="left"/>
      <w:pPr>
        <w:ind w:left="3257" w:hanging="213"/>
      </w:pPr>
      <w:rPr>
        <w:rFonts w:hint="default"/>
        <w:lang w:val="es-ES" w:eastAsia="en-US" w:bidi="ar-SA"/>
      </w:rPr>
    </w:lvl>
    <w:lvl w:ilvl="3">
      <w:start w:val="0"/>
      <w:numFmt w:val="bullet"/>
      <w:lvlText w:val="•"/>
      <w:lvlJc w:val="left"/>
      <w:pPr>
        <w:ind w:left="4196" w:hanging="213"/>
      </w:pPr>
      <w:rPr>
        <w:rFonts w:hint="default"/>
        <w:lang w:val="es-ES" w:eastAsia="en-US" w:bidi="ar-SA"/>
      </w:rPr>
    </w:lvl>
    <w:lvl w:ilvl="4">
      <w:start w:val="0"/>
      <w:numFmt w:val="bullet"/>
      <w:lvlText w:val="•"/>
      <w:lvlJc w:val="left"/>
      <w:pPr>
        <w:ind w:left="5135" w:hanging="213"/>
      </w:pPr>
      <w:rPr>
        <w:rFonts w:hint="default"/>
        <w:lang w:val="es-ES" w:eastAsia="en-US" w:bidi="ar-SA"/>
      </w:rPr>
    </w:lvl>
    <w:lvl w:ilvl="5">
      <w:start w:val="0"/>
      <w:numFmt w:val="bullet"/>
      <w:lvlText w:val="•"/>
      <w:lvlJc w:val="left"/>
      <w:pPr>
        <w:ind w:left="6074" w:hanging="213"/>
      </w:pPr>
      <w:rPr>
        <w:rFonts w:hint="default"/>
        <w:lang w:val="es-ES" w:eastAsia="en-US" w:bidi="ar-SA"/>
      </w:rPr>
    </w:lvl>
    <w:lvl w:ilvl="6">
      <w:start w:val="0"/>
      <w:numFmt w:val="bullet"/>
      <w:lvlText w:val="•"/>
      <w:lvlJc w:val="left"/>
      <w:pPr>
        <w:ind w:left="7012" w:hanging="213"/>
      </w:pPr>
      <w:rPr>
        <w:rFonts w:hint="default"/>
        <w:lang w:val="es-ES" w:eastAsia="en-US" w:bidi="ar-SA"/>
      </w:rPr>
    </w:lvl>
    <w:lvl w:ilvl="7">
      <w:start w:val="0"/>
      <w:numFmt w:val="bullet"/>
      <w:lvlText w:val="•"/>
      <w:lvlJc w:val="left"/>
      <w:pPr>
        <w:ind w:left="7951" w:hanging="213"/>
      </w:pPr>
      <w:rPr>
        <w:rFonts w:hint="default"/>
        <w:lang w:val="es-ES" w:eastAsia="en-US" w:bidi="ar-SA"/>
      </w:rPr>
    </w:lvl>
    <w:lvl w:ilvl="8">
      <w:start w:val="0"/>
      <w:numFmt w:val="bullet"/>
      <w:lvlText w:val="•"/>
      <w:lvlJc w:val="left"/>
      <w:pPr>
        <w:ind w:left="8890" w:hanging="213"/>
      </w:pPr>
      <w:rPr>
        <w:rFonts w:hint="default"/>
        <w:lang w:val="es-ES" w:eastAsia="en-US" w:bidi="ar-SA"/>
      </w:rPr>
    </w:lvl>
  </w:abstractNum>
  <w:abstractNum w:abstractNumId="1">
    <w:multiLevelType w:val="hybridMultilevel"/>
    <w:lvl w:ilvl="0">
      <w:start w:val="1"/>
      <w:numFmt w:val="decimal"/>
      <w:lvlText w:val="%1."/>
      <w:lvlJc w:val="left"/>
      <w:pPr>
        <w:ind w:left="1833" w:hanging="335"/>
        <w:jc w:val="left"/>
      </w:pPr>
      <w:rPr>
        <w:rFonts w:hint="default" w:ascii="Times New Roman" w:hAnsi="Times New Roman" w:eastAsia="Times New Roman" w:cs="Times New Roman"/>
        <w:b w:val="0"/>
        <w:bCs w:val="0"/>
        <w:i w:val="0"/>
        <w:iCs w:val="0"/>
        <w:spacing w:val="0"/>
        <w:w w:val="102"/>
        <w:sz w:val="20"/>
        <w:szCs w:val="20"/>
        <w:lang w:val="es-ES" w:eastAsia="en-US" w:bidi="ar-SA"/>
      </w:rPr>
    </w:lvl>
    <w:lvl w:ilvl="1">
      <w:start w:val="0"/>
      <w:numFmt w:val="bullet"/>
      <w:lvlText w:val="•"/>
      <w:lvlJc w:val="left"/>
      <w:pPr>
        <w:ind w:left="2732" w:hanging="335"/>
      </w:pPr>
      <w:rPr>
        <w:rFonts w:hint="default"/>
        <w:lang w:val="es-ES" w:eastAsia="en-US" w:bidi="ar-SA"/>
      </w:rPr>
    </w:lvl>
    <w:lvl w:ilvl="2">
      <w:start w:val="0"/>
      <w:numFmt w:val="bullet"/>
      <w:lvlText w:val="•"/>
      <w:lvlJc w:val="left"/>
      <w:pPr>
        <w:ind w:left="3625" w:hanging="335"/>
      </w:pPr>
      <w:rPr>
        <w:rFonts w:hint="default"/>
        <w:lang w:val="es-ES" w:eastAsia="en-US" w:bidi="ar-SA"/>
      </w:rPr>
    </w:lvl>
    <w:lvl w:ilvl="3">
      <w:start w:val="0"/>
      <w:numFmt w:val="bullet"/>
      <w:lvlText w:val="•"/>
      <w:lvlJc w:val="left"/>
      <w:pPr>
        <w:ind w:left="4518" w:hanging="335"/>
      </w:pPr>
      <w:rPr>
        <w:rFonts w:hint="default"/>
        <w:lang w:val="es-ES" w:eastAsia="en-US" w:bidi="ar-SA"/>
      </w:rPr>
    </w:lvl>
    <w:lvl w:ilvl="4">
      <w:start w:val="0"/>
      <w:numFmt w:val="bullet"/>
      <w:lvlText w:val="•"/>
      <w:lvlJc w:val="left"/>
      <w:pPr>
        <w:ind w:left="5411" w:hanging="335"/>
      </w:pPr>
      <w:rPr>
        <w:rFonts w:hint="default"/>
        <w:lang w:val="es-ES" w:eastAsia="en-US" w:bidi="ar-SA"/>
      </w:rPr>
    </w:lvl>
    <w:lvl w:ilvl="5">
      <w:start w:val="0"/>
      <w:numFmt w:val="bullet"/>
      <w:lvlText w:val="•"/>
      <w:lvlJc w:val="left"/>
      <w:pPr>
        <w:ind w:left="6304" w:hanging="335"/>
      </w:pPr>
      <w:rPr>
        <w:rFonts w:hint="default"/>
        <w:lang w:val="es-ES" w:eastAsia="en-US" w:bidi="ar-SA"/>
      </w:rPr>
    </w:lvl>
    <w:lvl w:ilvl="6">
      <w:start w:val="0"/>
      <w:numFmt w:val="bullet"/>
      <w:lvlText w:val="•"/>
      <w:lvlJc w:val="left"/>
      <w:pPr>
        <w:ind w:left="7196" w:hanging="335"/>
      </w:pPr>
      <w:rPr>
        <w:rFonts w:hint="default"/>
        <w:lang w:val="es-ES" w:eastAsia="en-US" w:bidi="ar-SA"/>
      </w:rPr>
    </w:lvl>
    <w:lvl w:ilvl="7">
      <w:start w:val="0"/>
      <w:numFmt w:val="bullet"/>
      <w:lvlText w:val="•"/>
      <w:lvlJc w:val="left"/>
      <w:pPr>
        <w:ind w:left="8089" w:hanging="335"/>
      </w:pPr>
      <w:rPr>
        <w:rFonts w:hint="default"/>
        <w:lang w:val="es-ES" w:eastAsia="en-US" w:bidi="ar-SA"/>
      </w:rPr>
    </w:lvl>
    <w:lvl w:ilvl="8">
      <w:start w:val="0"/>
      <w:numFmt w:val="bullet"/>
      <w:lvlText w:val="•"/>
      <w:lvlJc w:val="left"/>
      <w:pPr>
        <w:ind w:left="8982" w:hanging="335"/>
      </w:pPr>
      <w:rPr>
        <w:rFonts w:hint="default"/>
        <w:lang w:val="es-ES" w:eastAsia="en-US" w:bidi="ar-SA"/>
      </w:rPr>
    </w:lvl>
  </w:abstractNum>
  <w:abstractNum w:abstractNumId="0">
    <w:multiLevelType w:val="hybridMultilevel"/>
    <w:lvl w:ilvl="0">
      <w:start w:val="1"/>
      <w:numFmt w:val="lowerLetter"/>
      <w:lvlText w:val="%1)"/>
      <w:lvlJc w:val="left"/>
      <w:pPr>
        <w:ind w:left="1163" w:hanging="277"/>
        <w:jc w:val="left"/>
      </w:pPr>
      <w:rPr>
        <w:rFonts w:hint="default" w:ascii="Times New Roman" w:hAnsi="Times New Roman" w:eastAsia="Times New Roman" w:cs="Times New Roman"/>
        <w:b/>
        <w:bCs/>
        <w:i w:val="0"/>
        <w:iCs w:val="0"/>
        <w:spacing w:val="0"/>
        <w:w w:val="102"/>
        <w:sz w:val="20"/>
        <w:szCs w:val="20"/>
        <w:lang w:val="es-ES" w:eastAsia="en-US" w:bidi="ar-SA"/>
      </w:rPr>
    </w:lvl>
    <w:lvl w:ilvl="1">
      <w:start w:val="0"/>
      <w:numFmt w:val="bullet"/>
      <w:lvlText w:val="•"/>
      <w:lvlJc w:val="left"/>
      <w:pPr>
        <w:ind w:left="2120" w:hanging="277"/>
      </w:pPr>
      <w:rPr>
        <w:rFonts w:hint="default"/>
        <w:lang w:val="es-ES" w:eastAsia="en-US" w:bidi="ar-SA"/>
      </w:rPr>
    </w:lvl>
    <w:lvl w:ilvl="2">
      <w:start w:val="0"/>
      <w:numFmt w:val="bullet"/>
      <w:lvlText w:val="•"/>
      <w:lvlJc w:val="left"/>
      <w:pPr>
        <w:ind w:left="3081" w:hanging="277"/>
      </w:pPr>
      <w:rPr>
        <w:rFonts w:hint="default"/>
        <w:lang w:val="es-ES" w:eastAsia="en-US" w:bidi="ar-SA"/>
      </w:rPr>
    </w:lvl>
    <w:lvl w:ilvl="3">
      <w:start w:val="0"/>
      <w:numFmt w:val="bullet"/>
      <w:lvlText w:val="•"/>
      <w:lvlJc w:val="left"/>
      <w:pPr>
        <w:ind w:left="4042" w:hanging="277"/>
      </w:pPr>
      <w:rPr>
        <w:rFonts w:hint="default"/>
        <w:lang w:val="es-ES" w:eastAsia="en-US" w:bidi="ar-SA"/>
      </w:rPr>
    </w:lvl>
    <w:lvl w:ilvl="4">
      <w:start w:val="0"/>
      <w:numFmt w:val="bullet"/>
      <w:lvlText w:val="•"/>
      <w:lvlJc w:val="left"/>
      <w:pPr>
        <w:ind w:left="5003" w:hanging="277"/>
      </w:pPr>
      <w:rPr>
        <w:rFonts w:hint="default"/>
        <w:lang w:val="es-ES" w:eastAsia="en-US" w:bidi="ar-SA"/>
      </w:rPr>
    </w:lvl>
    <w:lvl w:ilvl="5">
      <w:start w:val="0"/>
      <w:numFmt w:val="bullet"/>
      <w:lvlText w:val="•"/>
      <w:lvlJc w:val="left"/>
      <w:pPr>
        <w:ind w:left="5964" w:hanging="277"/>
      </w:pPr>
      <w:rPr>
        <w:rFonts w:hint="default"/>
        <w:lang w:val="es-ES" w:eastAsia="en-US" w:bidi="ar-SA"/>
      </w:rPr>
    </w:lvl>
    <w:lvl w:ilvl="6">
      <w:start w:val="0"/>
      <w:numFmt w:val="bullet"/>
      <w:lvlText w:val="•"/>
      <w:lvlJc w:val="left"/>
      <w:pPr>
        <w:ind w:left="6924" w:hanging="277"/>
      </w:pPr>
      <w:rPr>
        <w:rFonts w:hint="default"/>
        <w:lang w:val="es-ES" w:eastAsia="en-US" w:bidi="ar-SA"/>
      </w:rPr>
    </w:lvl>
    <w:lvl w:ilvl="7">
      <w:start w:val="0"/>
      <w:numFmt w:val="bullet"/>
      <w:lvlText w:val="•"/>
      <w:lvlJc w:val="left"/>
      <w:pPr>
        <w:ind w:left="7885" w:hanging="277"/>
      </w:pPr>
      <w:rPr>
        <w:rFonts w:hint="default"/>
        <w:lang w:val="es-ES" w:eastAsia="en-US" w:bidi="ar-SA"/>
      </w:rPr>
    </w:lvl>
    <w:lvl w:ilvl="8">
      <w:start w:val="0"/>
      <w:numFmt w:val="bullet"/>
      <w:lvlText w:val="•"/>
      <w:lvlJc w:val="left"/>
      <w:pPr>
        <w:ind w:left="8846" w:hanging="277"/>
      </w:pPr>
      <w:rPr>
        <w:rFonts w:hint="default"/>
        <w:lang w:val="es-E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s-ES" w:eastAsia="en-US" w:bidi="ar-SA"/>
    </w:rPr>
  </w:style>
  <w:style w:styleId="BodyText" w:type="paragraph">
    <w:name w:val="Body Text"/>
    <w:basedOn w:val="Normal"/>
    <w:uiPriority w:val="1"/>
    <w:qFormat/>
    <w:pPr/>
    <w:rPr>
      <w:rFonts w:ascii="Times New Roman" w:hAnsi="Times New Roman" w:eastAsia="Times New Roman" w:cs="Times New Roman"/>
      <w:sz w:val="20"/>
      <w:szCs w:val="20"/>
      <w:lang w:val="es-ES" w:eastAsia="en-US" w:bidi="ar-SA"/>
    </w:rPr>
  </w:style>
  <w:style w:styleId="Heading1" w:type="paragraph">
    <w:name w:val="Heading 1"/>
    <w:basedOn w:val="Normal"/>
    <w:uiPriority w:val="1"/>
    <w:qFormat/>
    <w:pPr>
      <w:ind w:left="266"/>
      <w:jc w:val="center"/>
      <w:outlineLvl w:val="1"/>
    </w:pPr>
    <w:rPr>
      <w:rFonts w:ascii="Times New Roman" w:hAnsi="Times New Roman" w:eastAsia="Times New Roman" w:cs="Times New Roman"/>
      <w:b/>
      <w:bCs/>
      <w:sz w:val="20"/>
      <w:szCs w:val="20"/>
      <w:lang w:val="es-ES" w:eastAsia="en-US" w:bidi="ar-SA"/>
    </w:rPr>
  </w:style>
  <w:style w:styleId="ListParagraph" w:type="paragraph">
    <w:name w:val="List Paragraph"/>
    <w:basedOn w:val="Normal"/>
    <w:uiPriority w:val="1"/>
    <w:qFormat/>
    <w:pPr>
      <w:spacing w:before="165"/>
      <w:ind w:left="1163" w:right="902" w:firstLine="658"/>
      <w:jc w:val="both"/>
    </w:pPr>
    <w:rPr>
      <w:rFonts w:ascii="Times New Roman" w:hAnsi="Times New Roman" w:eastAsia="Times New Roman" w:cs="Times New Roman"/>
      <w:lang w:val="es-ES" w:eastAsia="en-US" w:bidi="ar-SA"/>
    </w:rPr>
  </w:style>
  <w:style w:styleId="TableParagraph" w:type="paragraph">
    <w:name w:val="Table Paragraph"/>
    <w:basedOn w:val="Normal"/>
    <w:uiPriority w:val="1"/>
    <w:qFormat/>
    <w:pPr/>
    <w:rPr>
      <w:rFonts w:ascii="Arial MT" w:hAnsi="Arial MT" w:eastAsia="Arial MT" w:cs="Arial MT"/>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image" Target="media/image1.jpeg"/><Relationship Id="rId10" Type="http://schemas.openxmlformats.org/officeDocument/2006/relationships/image" Target="media/image2.png"/><Relationship Id="rId11" Type="http://schemas.openxmlformats.org/officeDocument/2006/relationships/image" Target="media/image4.png"/><Relationship Id="rId12" Type="http://schemas.openxmlformats.org/officeDocument/2006/relationships/hyperlink" Target="https://sede.gobiernodecanarias.org/sede/verifica_doc?codigo_nde=RP001-0005%2BIpAQoGFOlgnP4k83VZew%3D%3D" TargetMode="External"/><Relationship Id="rId13"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hyperlink" Target="https://sede.gobiernodecanarias.org/sede/verifica_doc?codigo_nde=RP001-0005%2BIpAQoGFOlgnP4k83VZew%3D%3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 NIRVA MACIAS ACOSTA</dc:creator>
  <dc:title>jueves, 14 octubre 2004</dc:title>
  <dcterms:created xsi:type="dcterms:W3CDTF">2026-04-23T10:59:06Z</dcterms:created>
  <dcterms:modified xsi:type="dcterms:W3CDTF">2026-04-23T10:59:06Z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2025-06-23T00:00:00Z</vt:filetime>
  </property>
  <property fmtid="{D5CDD505-2E9C-101B-9397-08002B2CF9AE}" pid="3" name="Creator">
    <vt:lpwstr>Microsoft® Word LTSC</vt:lpwstr>
  </property>
  <property fmtid="{D5CDD505-2E9C-101B-9397-08002B2CF9AE}" pid="4" name="LastSaved">
    <vt:filetime>2026-04-23T00:00:00Z</vt:filetime>
  </property>
  <property fmtid="{D5CDD505-2E9C-101B-9397-08002B2CF9AE}" pid="5" name="NDE">
    <vt:lpwstr>RP001-0005+IpAQoGFOlgnP4k83VZew==</vt:lpwstr>
  </property>
  <property fmtid="{D5CDD505-2E9C-101B-9397-08002B2CF9AE}" pid="6" name="Producer">
    <vt:lpwstr>Microsoft® Word LTSC; modified using OpenPDF 1.3.43</vt:lpwstr>
  </property>
</Properties>
</file>